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CF606">
      <w:pPr>
        <w:jc w:val="center"/>
        <w:rPr>
          <w:b/>
          <w:bCs/>
          <w:sz w:val="44"/>
          <w:szCs w:val="44"/>
        </w:rPr>
      </w:pPr>
    </w:p>
    <w:p w14:paraId="43D8916E">
      <w:pPr>
        <w:jc w:val="center"/>
        <w:rPr>
          <w:b/>
          <w:bCs/>
          <w:sz w:val="44"/>
          <w:szCs w:val="44"/>
        </w:rPr>
      </w:pPr>
    </w:p>
    <w:p w14:paraId="2E195024">
      <w:pPr>
        <w:jc w:val="center"/>
        <w:rPr>
          <w:b/>
          <w:bCs/>
          <w:sz w:val="44"/>
          <w:szCs w:val="44"/>
        </w:rPr>
      </w:pPr>
    </w:p>
    <w:p w14:paraId="1B39B1B1">
      <w:pPr>
        <w:jc w:val="center"/>
        <w:rPr>
          <w:b/>
          <w:bCs/>
          <w:sz w:val="44"/>
          <w:szCs w:val="44"/>
        </w:rPr>
      </w:pPr>
    </w:p>
    <w:p w14:paraId="59560AB8">
      <w:pPr>
        <w:jc w:val="center"/>
        <w:rPr>
          <w:rFonts w:hint="eastAsia" w:ascii="黑体" w:hAnsi="黑体" w:eastAsia="黑体"/>
          <w:b/>
          <w:sz w:val="44"/>
          <w:szCs w:val="44"/>
        </w:rPr>
      </w:pPr>
      <w:r>
        <w:rPr>
          <w:rFonts w:hint="eastAsia" w:ascii="黑体" w:hAnsi="黑体" w:eastAsia="黑体"/>
          <w:b/>
          <w:sz w:val="44"/>
          <w:szCs w:val="44"/>
        </w:rPr>
        <w:t>山西省地方标准</w:t>
      </w:r>
    </w:p>
    <w:p w14:paraId="679B5187">
      <w:pPr>
        <w:jc w:val="center"/>
        <w:rPr>
          <w:rFonts w:hint="eastAsia" w:ascii="黑体" w:hAnsi="黑体" w:eastAsia="黑体"/>
          <w:b/>
          <w:sz w:val="44"/>
          <w:szCs w:val="44"/>
        </w:rPr>
      </w:pPr>
      <w:r>
        <w:rPr>
          <w:rFonts w:hint="eastAsia" w:ascii="黑体" w:hAnsi="黑体" w:eastAsia="黑体"/>
          <w:b/>
          <w:sz w:val="44"/>
          <w:szCs w:val="44"/>
        </w:rPr>
        <w:t>《甜瓜旱作栽培技术规程》</w:t>
      </w:r>
    </w:p>
    <w:p w14:paraId="714BF157">
      <w:pPr>
        <w:jc w:val="center"/>
        <w:rPr>
          <w:rFonts w:hint="eastAsia" w:ascii="黑体" w:hAnsi="黑体" w:eastAsia="黑体"/>
          <w:b/>
          <w:sz w:val="44"/>
          <w:szCs w:val="44"/>
        </w:rPr>
      </w:pPr>
      <w:r>
        <w:rPr>
          <w:rFonts w:hint="eastAsia" w:ascii="黑体" w:hAnsi="黑体" w:eastAsia="黑体"/>
          <w:b/>
          <w:sz w:val="44"/>
          <w:szCs w:val="44"/>
        </w:rPr>
        <w:t>编制说明</w:t>
      </w:r>
    </w:p>
    <w:p w14:paraId="4048A0DD"/>
    <w:p w14:paraId="7946DC2C"/>
    <w:p w14:paraId="251AA6A4"/>
    <w:p w14:paraId="666ACFEB"/>
    <w:p w14:paraId="4E733821"/>
    <w:p w14:paraId="7DED044B"/>
    <w:p w14:paraId="04AD704A"/>
    <w:p w14:paraId="7F03D67A"/>
    <w:p w14:paraId="64649B66"/>
    <w:p w14:paraId="37854AA7"/>
    <w:p w14:paraId="4BB19617"/>
    <w:p w14:paraId="465E18DA"/>
    <w:p w14:paraId="249C34AA"/>
    <w:p w14:paraId="36D3DE45"/>
    <w:p w14:paraId="14D597D5"/>
    <w:p w14:paraId="4E6949A4"/>
    <w:p w14:paraId="2B6ABEE5"/>
    <w:p w14:paraId="3C4B226F"/>
    <w:p w14:paraId="16E558B8"/>
    <w:p w14:paraId="569C4B52"/>
    <w:p w14:paraId="2ADB8383"/>
    <w:p w14:paraId="2DA003A0">
      <w:pPr>
        <w:spacing w:line="360" w:lineRule="auto"/>
        <w:jc w:val="center"/>
        <w:rPr>
          <w:rFonts w:hint="eastAsia" w:ascii="宋体" w:hAnsi="宋体"/>
          <w:b/>
          <w:kern w:val="22"/>
          <w:sz w:val="32"/>
          <w:szCs w:val="32"/>
        </w:rPr>
      </w:pPr>
      <w:r>
        <w:rPr>
          <w:rFonts w:hint="eastAsia" w:ascii="宋体" w:hAnsi="宋体"/>
          <w:b/>
          <w:kern w:val="22"/>
          <w:sz w:val="32"/>
          <w:szCs w:val="32"/>
        </w:rPr>
        <w:t>编制单位：</w:t>
      </w:r>
      <w:r>
        <w:rPr>
          <w:rFonts w:ascii="宋体" w:hAnsi="宋体"/>
          <w:b/>
          <w:kern w:val="22"/>
          <w:sz w:val="32"/>
          <w:szCs w:val="32"/>
        </w:rPr>
        <w:t>山西农业大学</w:t>
      </w:r>
    </w:p>
    <w:p w14:paraId="114F6177">
      <w:pPr>
        <w:jc w:val="center"/>
        <w:rPr>
          <w:rFonts w:hint="eastAsia" w:ascii="宋体" w:hAnsi="宋体"/>
          <w:b/>
          <w:kern w:val="22"/>
          <w:sz w:val="32"/>
          <w:szCs w:val="32"/>
        </w:rPr>
      </w:pPr>
      <w:r>
        <w:rPr>
          <w:rFonts w:ascii="宋体" w:hAnsi="宋体"/>
          <w:b/>
          <w:kern w:val="22"/>
          <w:sz w:val="32"/>
          <w:szCs w:val="32"/>
        </w:rPr>
        <w:t xml:space="preserve"> </w:t>
      </w:r>
      <w:r>
        <w:rPr>
          <w:rFonts w:hint="eastAsia" w:ascii="宋体" w:hAnsi="宋体"/>
          <w:b/>
          <w:kern w:val="22"/>
          <w:sz w:val="32"/>
          <w:szCs w:val="32"/>
        </w:rPr>
        <w:t>二○二三</w:t>
      </w:r>
      <w:r>
        <w:rPr>
          <w:rFonts w:ascii="宋体" w:hAnsi="宋体"/>
          <w:b/>
          <w:kern w:val="22"/>
          <w:sz w:val="32"/>
          <w:szCs w:val="32"/>
        </w:rPr>
        <w:t>年</w:t>
      </w:r>
      <w:r>
        <w:rPr>
          <w:rFonts w:hint="eastAsia" w:ascii="宋体" w:hAnsi="宋体"/>
          <w:b/>
          <w:kern w:val="22"/>
          <w:sz w:val="32"/>
          <w:szCs w:val="32"/>
        </w:rPr>
        <w:t>二</w:t>
      </w:r>
      <w:r>
        <w:rPr>
          <w:rFonts w:ascii="宋体" w:hAnsi="宋体"/>
          <w:b/>
          <w:kern w:val="22"/>
          <w:sz w:val="32"/>
          <w:szCs w:val="32"/>
        </w:rPr>
        <w:t xml:space="preserve">月 </w:t>
      </w:r>
    </w:p>
    <w:p w14:paraId="1F5A6A5F">
      <w:pPr>
        <w:jc w:val="center"/>
        <w:rPr>
          <w:rFonts w:hint="eastAsia" w:ascii="宋体" w:hAnsi="宋体"/>
          <w:b/>
          <w:kern w:val="22"/>
          <w:sz w:val="32"/>
          <w:szCs w:val="32"/>
        </w:rPr>
      </w:pPr>
    </w:p>
    <w:p w14:paraId="49986971">
      <w:pPr>
        <w:jc w:val="center"/>
        <w:rPr>
          <w:rFonts w:hint="eastAsia" w:ascii="宋体" w:hAnsi="宋体"/>
          <w:b/>
          <w:kern w:val="22"/>
          <w:sz w:val="32"/>
          <w:szCs w:val="32"/>
        </w:rPr>
      </w:pPr>
    </w:p>
    <w:p w14:paraId="4A627881">
      <w:pPr>
        <w:jc w:val="center"/>
        <w:rPr>
          <w:rFonts w:hint="eastAsia" w:ascii="宋体" w:hAnsi="宋体"/>
          <w:b/>
          <w:sz w:val="30"/>
          <w:szCs w:val="30"/>
        </w:rPr>
      </w:pPr>
    </w:p>
    <w:p w14:paraId="4F7D903D">
      <w:pPr>
        <w:jc w:val="center"/>
        <w:rPr>
          <w:rFonts w:hint="eastAsia" w:ascii="宋体" w:hAnsi="宋体"/>
          <w:b/>
          <w:sz w:val="30"/>
          <w:szCs w:val="30"/>
        </w:rPr>
      </w:pPr>
      <w:r>
        <w:rPr>
          <w:rFonts w:ascii="宋体" w:hAnsi="宋体"/>
          <w:b/>
          <w:sz w:val="30"/>
          <w:szCs w:val="30"/>
        </w:rPr>
        <w:t>山西省地方标准</w:t>
      </w:r>
    </w:p>
    <w:p w14:paraId="4DBBC8CC">
      <w:pPr>
        <w:jc w:val="center"/>
        <w:rPr>
          <w:rFonts w:hint="eastAsia" w:ascii="宋体" w:hAnsi="宋体"/>
          <w:b/>
          <w:sz w:val="30"/>
          <w:szCs w:val="30"/>
        </w:rPr>
      </w:pPr>
      <w:r>
        <w:rPr>
          <w:rFonts w:hint="eastAsia" w:ascii="宋体" w:hAnsi="宋体"/>
          <w:b/>
          <w:sz w:val="30"/>
          <w:szCs w:val="30"/>
        </w:rPr>
        <w:t>《甜瓜旱作栽培技术规程》</w:t>
      </w:r>
    </w:p>
    <w:p w14:paraId="4814C7AB">
      <w:pPr>
        <w:jc w:val="center"/>
        <w:rPr>
          <w:rFonts w:hint="eastAsia" w:ascii="宋体" w:hAnsi="宋体"/>
          <w:b/>
          <w:sz w:val="30"/>
          <w:szCs w:val="30"/>
        </w:rPr>
      </w:pPr>
      <w:r>
        <w:rPr>
          <w:rFonts w:hint="eastAsia" w:ascii="宋体" w:hAnsi="宋体"/>
          <w:b/>
          <w:sz w:val="30"/>
          <w:szCs w:val="30"/>
        </w:rPr>
        <w:t>编制说明</w:t>
      </w:r>
    </w:p>
    <w:p w14:paraId="0E1A251B">
      <w:pPr>
        <w:spacing w:line="360" w:lineRule="auto"/>
        <w:ind w:firstLine="480" w:firstLineChars="200"/>
        <w:outlineLvl w:val="0"/>
        <w:rPr>
          <w:rFonts w:ascii="黑体" w:eastAsia="黑体"/>
          <w:sz w:val="24"/>
        </w:rPr>
      </w:pPr>
      <w:r>
        <w:rPr>
          <w:rFonts w:ascii="黑体" w:eastAsia="黑体"/>
          <w:sz w:val="24"/>
        </w:rPr>
        <w:t>一、工作</w:t>
      </w:r>
      <w:r>
        <w:rPr>
          <w:rFonts w:hint="eastAsia" w:ascii="黑体" w:eastAsia="黑体"/>
          <w:sz w:val="24"/>
        </w:rPr>
        <w:t>简况</w:t>
      </w:r>
    </w:p>
    <w:p w14:paraId="7E2F5BF4">
      <w:pPr>
        <w:spacing w:line="360" w:lineRule="auto"/>
        <w:ind w:left="465"/>
        <w:outlineLvl w:val="1"/>
        <w:rPr>
          <w:rFonts w:ascii="楷体_GB2312" w:eastAsia="楷体_GB2312"/>
          <w:sz w:val="24"/>
        </w:rPr>
      </w:pPr>
      <w:r>
        <w:rPr>
          <w:rFonts w:hint="eastAsia" w:ascii="楷体_GB2312" w:eastAsia="楷体_GB2312"/>
          <w:sz w:val="24"/>
        </w:rPr>
        <w:t>1</w:t>
      </w:r>
      <w:r>
        <w:rPr>
          <w:rFonts w:ascii="楷体_GB2312" w:eastAsia="楷体_GB2312"/>
          <w:sz w:val="24"/>
        </w:rPr>
        <w:t>.任务来源</w:t>
      </w:r>
    </w:p>
    <w:p w14:paraId="3EEAA328">
      <w:pPr>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来自《山西省市场监督管理局关于下达2023年度第七批山西省地方标准制修订项目计划的通知》文件，序号18。</w:t>
      </w:r>
    </w:p>
    <w:p w14:paraId="4CF92B1C">
      <w:pPr>
        <w:spacing w:line="360" w:lineRule="auto"/>
        <w:ind w:firstLine="480" w:firstLineChars="200"/>
        <w:outlineLvl w:val="1"/>
        <w:rPr>
          <w:rFonts w:ascii="楷体_GB2312" w:eastAsia="楷体_GB2312"/>
          <w:sz w:val="24"/>
        </w:rPr>
      </w:pPr>
      <w:r>
        <w:rPr>
          <w:rFonts w:hint="eastAsia" w:ascii="楷体_GB2312" w:eastAsia="楷体_GB2312"/>
          <w:sz w:val="24"/>
        </w:rPr>
        <w:t>2.起草</w:t>
      </w:r>
      <w:r>
        <w:rPr>
          <w:rFonts w:ascii="楷体_GB2312" w:eastAsia="楷体_GB2312"/>
          <w:sz w:val="24"/>
        </w:rPr>
        <w:t>单位和主要起草人</w:t>
      </w:r>
    </w:p>
    <w:p w14:paraId="1813EBCC">
      <w:pPr>
        <w:ind w:firstLine="560" w:firstLineChars="200"/>
        <w:rPr>
          <w:rFonts w:ascii="楷体_GB2312" w:eastAsia="楷体_GB2312"/>
          <w:sz w:val="24"/>
        </w:rPr>
      </w:pPr>
      <w:r>
        <w:rPr>
          <w:rFonts w:hint="eastAsia"/>
          <w:sz w:val="28"/>
          <w:szCs w:val="28"/>
        </w:rPr>
        <w:t>起草任务由</w:t>
      </w:r>
      <w:r>
        <w:rPr>
          <w:sz w:val="28"/>
          <w:szCs w:val="28"/>
        </w:rPr>
        <w:t>山西农业大学园艺学院</w:t>
      </w:r>
      <w:r>
        <w:rPr>
          <w:rFonts w:hint="eastAsia"/>
          <w:sz w:val="28"/>
          <w:szCs w:val="28"/>
        </w:rPr>
        <w:t>承担。</w:t>
      </w:r>
    </w:p>
    <w:p w14:paraId="76935E70">
      <w:pPr>
        <w:ind w:firstLine="274" w:firstLineChars="98"/>
        <w:jc w:val="center"/>
        <w:rPr>
          <w:sz w:val="28"/>
          <w:szCs w:val="28"/>
        </w:rPr>
      </w:pPr>
      <w:r>
        <w:rPr>
          <w:sz w:val="28"/>
          <w:szCs w:val="28"/>
        </w:rPr>
        <w:t>主要起草人</w:t>
      </w:r>
      <w:r>
        <w:rPr>
          <w:rFonts w:hint="eastAsia"/>
          <w:sz w:val="28"/>
          <w:szCs w:val="28"/>
        </w:rPr>
        <w:t>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768"/>
        <w:gridCol w:w="2436"/>
        <w:gridCol w:w="1939"/>
        <w:gridCol w:w="2329"/>
      </w:tblGrid>
      <w:tr w14:paraId="6482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50" w:type="dxa"/>
            <w:shd w:val="clear" w:color="auto" w:fill="auto"/>
            <w:vAlign w:val="center"/>
          </w:tcPr>
          <w:p w14:paraId="6756190A">
            <w:pPr>
              <w:jc w:val="center"/>
              <w:rPr>
                <w:b/>
                <w:sz w:val="24"/>
              </w:rPr>
            </w:pPr>
            <w:r>
              <w:rPr>
                <w:rFonts w:hint="eastAsia"/>
                <w:b/>
                <w:sz w:val="24"/>
              </w:rPr>
              <w:t>姓名</w:t>
            </w:r>
          </w:p>
        </w:tc>
        <w:tc>
          <w:tcPr>
            <w:tcW w:w="768" w:type="dxa"/>
            <w:shd w:val="clear" w:color="auto" w:fill="auto"/>
            <w:vAlign w:val="center"/>
          </w:tcPr>
          <w:p w14:paraId="3FEA5137">
            <w:pPr>
              <w:jc w:val="center"/>
              <w:rPr>
                <w:b/>
                <w:sz w:val="24"/>
              </w:rPr>
            </w:pPr>
            <w:r>
              <w:rPr>
                <w:rFonts w:hint="eastAsia"/>
                <w:b/>
                <w:sz w:val="24"/>
              </w:rPr>
              <w:t>性别</w:t>
            </w:r>
          </w:p>
        </w:tc>
        <w:tc>
          <w:tcPr>
            <w:tcW w:w="2436" w:type="dxa"/>
            <w:shd w:val="clear" w:color="auto" w:fill="auto"/>
            <w:vAlign w:val="center"/>
          </w:tcPr>
          <w:p w14:paraId="0989DB07">
            <w:pPr>
              <w:jc w:val="center"/>
              <w:rPr>
                <w:b/>
                <w:sz w:val="24"/>
              </w:rPr>
            </w:pPr>
            <w:r>
              <w:rPr>
                <w:rFonts w:hint="eastAsia"/>
                <w:b/>
                <w:sz w:val="24"/>
              </w:rPr>
              <w:t>职务/职称</w:t>
            </w:r>
          </w:p>
        </w:tc>
        <w:tc>
          <w:tcPr>
            <w:tcW w:w="1939" w:type="dxa"/>
            <w:shd w:val="clear" w:color="auto" w:fill="auto"/>
            <w:vAlign w:val="center"/>
          </w:tcPr>
          <w:p w14:paraId="21A69676">
            <w:pPr>
              <w:jc w:val="center"/>
              <w:rPr>
                <w:b/>
                <w:sz w:val="24"/>
              </w:rPr>
            </w:pPr>
            <w:r>
              <w:rPr>
                <w:rFonts w:hint="eastAsia"/>
                <w:b/>
                <w:sz w:val="24"/>
              </w:rPr>
              <w:t>工作单位</w:t>
            </w:r>
          </w:p>
        </w:tc>
        <w:tc>
          <w:tcPr>
            <w:tcW w:w="2329" w:type="dxa"/>
            <w:shd w:val="clear" w:color="auto" w:fill="auto"/>
            <w:vAlign w:val="center"/>
          </w:tcPr>
          <w:p w14:paraId="2A935933">
            <w:pPr>
              <w:jc w:val="center"/>
              <w:rPr>
                <w:b/>
                <w:sz w:val="24"/>
              </w:rPr>
            </w:pPr>
            <w:r>
              <w:rPr>
                <w:rFonts w:hint="eastAsia"/>
                <w:b/>
                <w:sz w:val="24"/>
              </w:rPr>
              <w:t>任务分工</w:t>
            </w:r>
          </w:p>
        </w:tc>
      </w:tr>
      <w:tr w14:paraId="5684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50" w:type="dxa"/>
            <w:shd w:val="clear" w:color="auto" w:fill="auto"/>
            <w:vAlign w:val="center"/>
          </w:tcPr>
          <w:p w14:paraId="17FF602E">
            <w:pPr>
              <w:jc w:val="center"/>
              <w:rPr>
                <w:sz w:val="24"/>
              </w:rPr>
            </w:pPr>
            <w:r>
              <w:rPr>
                <w:rFonts w:hint="eastAsia"/>
                <w:sz w:val="24"/>
              </w:rPr>
              <w:t>王文娇</w:t>
            </w:r>
          </w:p>
        </w:tc>
        <w:tc>
          <w:tcPr>
            <w:tcW w:w="768" w:type="dxa"/>
            <w:shd w:val="clear" w:color="auto" w:fill="auto"/>
            <w:vAlign w:val="center"/>
          </w:tcPr>
          <w:p w14:paraId="7874690C">
            <w:pPr>
              <w:jc w:val="center"/>
              <w:rPr>
                <w:sz w:val="24"/>
              </w:rPr>
            </w:pPr>
            <w:r>
              <w:rPr>
                <w:rFonts w:hint="eastAsia"/>
                <w:sz w:val="24"/>
              </w:rPr>
              <w:t>女</w:t>
            </w:r>
          </w:p>
        </w:tc>
        <w:tc>
          <w:tcPr>
            <w:tcW w:w="2436" w:type="dxa"/>
            <w:shd w:val="clear" w:color="auto" w:fill="auto"/>
            <w:vAlign w:val="center"/>
          </w:tcPr>
          <w:p w14:paraId="5F329921">
            <w:pPr>
              <w:jc w:val="center"/>
              <w:rPr>
                <w:sz w:val="24"/>
              </w:rPr>
            </w:pPr>
            <w:r>
              <w:rPr>
                <w:rFonts w:hint="eastAsia"/>
                <w:sz w:val="24"/>
              </w:rPr>
              <w:t>副教授</w:t>
            </w:r>
          </w:p>
        </w:tc>
        <w:tc>
          <w:tcPr>
            <w:tcW w:w="1939" w:type="dxa"/>
            <w:shd w:val="clear" w:color="auto" w:fill="auto"/>
            <w:vAlign w:val="center"/>
          </w:tcPr>
          <w:p w14:paraId="0B7F551D">
            <w:pPr>
              <w:jc w:val="center"/>
              <w:rPr>
                <w:sz w:val="24"/>
              </w:rPr>
            </w:pPr>
            <w:r>
              <w:rPr>
                <w:rFonts w:hint="eastAsia"/>
                <w:sz w:val="24"/>
              </w:rPr>
              <w:t>山西农业大学</w:t>
            </w:r>
          </w:p>
        </w:tc>
        <w:tc>
          <w:tcPr>
            <w:tcW w:w="2329" w:type="dxa"/>
            <w:shd w:val="clear" w:color="auto" w:fill="auto"/>
            <w:vAlign w:val="center"/>
          </w:tcPr>
          <w:p w14:paraId="04D4A2E7">
            <w:pPr>
              <w:jc w:val="center"/>
              <w:rPr>
                <w:sz w:val="24"/>
              </w:rPr>
            </w:pPr>
            <w:r>
              <w:rPr>
                <w:rFonts w:hint="eastAsia"/>
                <w:sz w:val="24"/>
              </w:rPr>
              <w:t>技术指标寻求意见</w:t>
            </w:r>
          </w:p>
        </w:tc>
      </w:tr>
      <w:tr w14:paraId="4413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jc w:val="center"/>
        </w:trPr>
        <w:tc>
          <w:tcPr>
            <w:tcW w:w="1050" w:type="dxa"/>
            <w:shd w:val="clear" w:color="auto" w:fill="auto"/>
            <w:vAlign w:val="center"/>
          </w:tcPr>
          <w:p w14:paraId="38DFFE17">
            <w:pPr>
              <w:jc w:val="center"/>
              <w:rPr>
                <w:sz w:val="24"/>
              </w:rPr>
            </w:pPr>
            <w:r>
              <w:rPr>
                <w:rFonts w:hint="eastAsia"/>
                <w:sz w:val="24"/>
              </w:rPr>
              <w:t>熊韬</w:t>
            </w:r>
          </w:p>
        </w:tc>
        <w:tc>
          <w:tcPr>
            <w:tcW w:w="768" w:type="dxa"/>
            <w:shd w:val="clear" w:color="auto" w:fill="auto"/>
            <w:vAlign w:val="center"/>
          </w:tcPr>
          <w:p w14:paraId="59C14CF2">
            <w:pPr>
              <w:jc w:val="center"/>
              <w:rPr>
                <w:sz w:val="24"/>
              </w:rPr>
            </w:pPr>
            <w:r>
              <w:rPr>
                <w:rFonts w:hint="eastAsia"/>
                <w:sz w:val="24"/>
              </w:rPr>
              <w:t>男</w:t>
            </w:r>
          </w:p>
        </w:tc>
        <w:tc>
          <w:tcPr>
            <w:tcW w:w="2436" w:type="dxa"/>
            <w:shd w:val="clear" w:color="auto" w:fill="auto"/>
            <w:vAlign w:val="center"/>
          </w:tcPr>
          <w:p w14:paraId="3776E026">
            <w:pPr>
              <w:jc w:val="center"/>
              <w:rPr>
                <w:sz w:val="24"/>
              </w:rPr>
            </w:pPr>
            <w:r>
              <w:rPr>
                <w:rFonts w:hint="eastAsia"/>
                <w:sz w:val="24"/>
              </w:rPr>
              <w:t>副教授</w:t>
            </w:r>
          </w:p>
        </w:tc>
        <w:tc>
          <w:tcPr>
            <w:tcW w:w="1939" w:type="dxa"/>
            <w:shd w:val="clear" w:color="auto" w:fill="auto"/>
            <w:vAlign w:val="center"/>
          </w:tcPr>
          <w:p w14:paraId="0FA641E0">
            <w:pPr>
              <w:jc w:val="center"/>
              <w:rPr>
                <w:sz w:val="24"/>
              </w:rPr>
            </w:pPr>
            <w:r>
              <w:rPr>
                <w:rFonts w:hint="eastAsia"/>
                <w:sz w:val="24"/>
              </w:rPr>
              <w:t>山西农业大学</w:t>
            </w:r>
          </w:p>
        </w:tc>
        <w:tc>
          <w:tcPr>
            <w:tcW w:w="2329" w:type="dxa"/>
            <w:shd w:val="clear" w:color="auto" w:fill="auto"/>
            <w:vAlign w:val="center"/>
          </w:tcPr>
          <w:p w14:paraId="5C5BFDBB">
            <w:pPr>
              <w:jc w:val="center"/>
              <w:rPr>
                <w:sz w:val="24"/>
              </w:rPr>
            </w:pPr>
            <w:r>
              <w:rPr>
                <w:rFonts w:hint="eastAsia"/>
                <w:sz w:val="24"/>
              </w:rPr>
              <w:t>主要技术指标论证</w:t>
            </w:r>
          </w:p>
        </w:tc>
      </w:tr>
      <w:tr w14:paraId="1BA34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50" w:type="dxa"/>
            <w:shd w:val="clear" w:color="auto" w:fill="auto"/>
            <w:vAlign w:val="center"/>
          </w:tcPr>
          <w:p w14:paraId="21E04180">
            <w:pPr>
              <w:jc w:val="center"/>
              <w:rPr>
                <w:sz w:val="24"/>
              </w:rPr>
            </w:pPr>
            <w:r>
              <w:rPr>
                <w:rFonts w:hint="eastAsia"/>
                <w:sz w:val="24"/>
              </w:rPr>
              <w:t>李斌</w:t>
            </w:r>
          </w:p>
        </w:tc>
        <w:tc>
          <w:tcPr>
            <w:tcW w:w="768" w:type="dxa"/>
            <w:shd w:val="clear" w:color="auto" w:fill="auto"/>
            <w:vAlign w:val="center"/>
          </w:tcPr>
          <w:p w14:paraId="7B5A66ED">
            <w:pPr>
              <w:jc w:val="center"/>
              <w:rPr>
                <w:sz w:val="24"/>
              </w:rPr>
            </w:pPr>
            <w:r>
              <w:rPr>
                <w:rFonts w:hint="eastAsia"/>
                <w:sz w:val="24"/>
              </w:rPr>
              <w:t>男</w:t>
            </w:r>
          </w:p>
        </w:tc>
        <w:tc>
          <w:tcPr>
            <w:tcW w:w="2436" w:type="dxa"/>
            <w:shd w:val="clear" w:color="auto" w:fill="auto"/>
            <w:vAlign w:val="center"/>
          </w:tcPr>
          <w:p w14:paraId="53F1F868">
            <w:pPr>
              <w:jc w:val="center"/>
              <w:rPr>
                <w:sz w:val="24"/>
              </w:rPr>
            </w:pPr>
            <w:r>
              <w:rPr>
                <w:rFonts w:hint="eastAsia"/>
                <w:sz w:val="24"/>
              </w:rPr>
              <w:t>副教授</w:t>
            </w:r>
          </w:p>
        </w:tc>
        <w:tc>
          <w:tcPr>
            <w:tcW w:w="1939" w:type="dxa"/>
            <w:shd w:val="clear" w:color="auto" w:fill="auto"/>
            <w:vAlign w:val="center"/>
          </w:tcPr>
          <w:p w14:paraId="3C6E2741">
            <w:pPr>
              <w:jc w:val="center"/>
              <w:rPr>
                <w:sz w:val="24"/>
              </w:rPr>
            </w:pPr>
            <w:r>
              <w:rPr>
                <w:rFonts w:hint="eastAsia"/>
                <w:sz w:val="24"/>
              </w:rPr>
              <w:t>山西农业大学</w:t>
            </w:r>
          </w:p>
        </w:tc>
        <w:tc>
          <w:tcPr>
            <w:tcW w:w="2329" w:type="dxa"/>
            <w:shd w:val="clear" w:color="auto" w:fill="auto"/>
            <w:vAlign w:val="center"/>
          </w:tcPr>
          <w:p w14:paraId="3CDD2564">
            <w:pPr>
              <w:jc w:val="center"/>
              <w:rPr>
                <w:sz w:val="24"/>
              </w:rPr>
            </w:pPr>
            <w:r>
              <w:rPr>
                <w:rFonts w:hint="eastAsia"/>
                <w:sz w:val="24"/>
              </w:rPr>
              <w:t>技术指标审核</w:t>
            </w:r>
          </w:p>
        </w:tc>
      </w:tr>
      <w:tr w14:paraId="0309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50" w:type="dxa"/>
            <w:shd w:val="clear" w:color="auto" w:fill="auto"/>
            <w:vAlign w:val="center"/>
          </w:tcPr>
          <w:p w14:paraId="3FA67DA5">
            <w:pPr>
              <w:jc w:val="center"/>
              <w:rPr>
                <w:sz w:val="24"/>
              </w:rPr>
            </w:pPr>
            <w:r>
              <w:rPr>
                <w:rFonts w:hint="eastAsia"/>
                <w:sz w:val="24"/>
              </w:rPr>
              <w:t>苗妍秀</w:t>
            </w:r>
          </w:p>
        </w:tc>
        <w:tc>
          <w:tcPr>
            <w:tcW w:w="768" w:type="dxa"/>
            <w:shd w:val="clear" w:color="auto" w:fill="auto"/>
            <w:vAlign w:val="center"/>
          </w:tcPr>
          <w:p w14:paraId="22C37FC8">
            <w:pPr>
              <w:jc w:val="center"/>
              <w:rPr>
                <w:sz w:val="24"/>
              </w:rPr>
            </w:pPr>
            <w:r>
              <w:rPr>
                <w:rFonts w:hint="eastAsia"/>
                <w:sz w:val="24"/>
              </w:rPr>
              <w:t>女</w:t>
            </w:r>
          </w:p>
        </w:tc>
        <w:tc>
          <w:tcPr>
            <w:tcW w:w="2436" w:type="dxa"/>
            <w:shd w:val="clear" w:color="auto" w:fill="auto"/>
            <w:vAlign w:val="center"/>
          </w:tcPr>
          <w:p w14:paraId="697D647F">
            <w:pPr>
              <w:jc w:val="center"/>
              <w:rPr>
                <w:sz w:val="24"/>
              </w:rPr>
            </w:pPr>
            <w:r>
              <w:rPr>
                <w:rFonts w:hint="eastAsia"/>
                <w:sz w:val="24"/>
              </w:rPr>
              <w:t>副教授</w:t>
            </w:r>
          </w:p>
        </w:tc>
        <w:tc>
          <w:tcPr>
            <w:tcW w:w="1939" w:type="dxa"/>
            <w:shd w:val="clear" w:color="auto" w:fill="auto"/>
            <w:vAlign w:val="center"/>
          </w:tcPr>
          <w:p w14:paraId="4400415E">
            <w:pPr>
              <w:jc w:val="center"/>
              <w:rPr>
                <w:sz w:val="24"/>
              </w:rPr>
            </w:pPr>
            <w:r>
              <w:rPr>
                <w:rFonts w:hint="eastAsia"/>
                <w:sz w:val="24"/>
              </w:rPr>
              <w:t>山西农业大学</w:t>
            </w:r>
          </w:p>
        </w:tc>
        <w:tc>
          <w:tcPr>
            <w:tcW w:w="2329" w:type="dxa"/>
            <w:shd w:val="clear" w:color="auto" w:fill="auto"/>
            <w:vAlign w:val="center"/>
          </w:tcPr>
          <w:p w14:paraId="67C95A4C">
            <w:pPr>
              <w:jc w:val="center"/>
              <w:rPr>
                <w:sz w:val="24"/>
              </w:rPr>
            </w:pPr>
            <w:r>
              <w:rPr>
                <w:rFonts w:hint="eastAsia"/>
                <w:sz w:val="24"/>
              </w:rPr>
              <w:t>调研</w:t>
            </w:r>
          </w:p>
        </w:tc>
      </w:tr>
      <w:tr w14:paraId="3212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50" w:type="dxa"/>
            <w:shd w:val="clear" w:color="auto" w:fill="auto"/>
            <w:vAlign w:val="center"/>
          </w:tcPr>
          <w:p w14:paraId="3956ADAB">
            <w:pPr>
              <w:jc w:val="center"/>
              <w:rPr>
                <w:sz w:val="24"/>
              </w:rPr>
            </w:pPr>
            <w:r>
              <w:rPr>
                <w:rFonts w:hint="eastAsia"/>
                <w:sz w:val="24"/>
              </w:rPr>
              <w:t>宋红霞</w:t>
            </w:r>
          </w:p>
        </w:tc>
        <w:tc>
          <w:tcPr>
            <w:tcW w:w="768" w:type="dxa"/>
            <w:shd w:val="clear" w:color="auto" w:fill="auto"/>
            <w:vAlign w:val="center"/>
          </w:tcPr>
          <w:p w14:paraId="6CBFED28">
            <w:pPr>
              <w:jc w:val="center"/>
              <w:rPr>
                <w:sz w:val="24"/>
              </w:rPr>
            </w:pPr>
            <w:r>
              <w:rPr>
                <w:rFonts w:hint="eastAsia"/>
                <w:sz w:val="24"/>
              </w:rPr>
              <w:t>女</w:t>
            </w:r>
          </w:p>
        </w:tc>
        <w:tc>
          <w:tcPr>
            <w:tcW w:w="2436" w:type="dxa"/>
            <w:shd w:val="clear" w:color="auto" w:fill="auto"/>
            <w:vAlign w:val="center"/>
          </w:tcPr>
          <w:p w14:paraId="1B3B6C11">
            <w:pPr>
              <w:jc w:val="center"/>
              <w:rPr>
                <w:sz w:val="24"/>
              </w:rPr>
            </w:pPr>
            <w:r>
              <w:rPr>
                <w:rFonts w:hint="eastAsia"/>
                <w:sz w:val="24"/>
              </w:rPr>
              <w:t>副系主任/副教授</w:t>
            </w:r>
          </w:p>
        </w:tc>
        <w:tc>
          <w:tcPr>
            <w:tcW w:w="1939" w:type="dxa"/>
            <w:shd w:val="clear" w:color="auto" w:fill="auto"/>
            <w:vAlign w:val="center"/>
          </w:tcPr>
          <w:p w14:paraId="65E729CD">
            <w:pPr>
              <w:jc w:val="center"/>
              <w:rPr>
                <w:sz w:val="24"/>
              </w:rPr>
            </w:pPr>
            <w:r>
              <w:rPr>
                <w:rFonts w:hint="eastAsia"/>
                <w:sz w:val="24"/>
              </w:rPr>
              <w:t>山西农业大学</w:t>
            </w:r>
          </w:p>
        </w:tc>
        <w:tc>
          <w:tcPr>
            <w:tcW w:w="2329" w:type="dxa"/>
            <w:shd w:val="clear" w:color="auto" w:fill="auto"/>
            <w:vAlign w:val="center"/>
          </w:tcPr>
          <w:p w14:paraId="22471B2A">
            <w:pPr>
              <w:jc w:val="center"/>
              <w:rPr>
                <w:sz w:val="24"/>
              </w:rPr>
            </w:pPr>
            <w:r>
              <w:rPr>
                <w:rFonts w:hint="eastAsia"/>
                <w:sz w:val="24"/>
              </w:rPr>
              <w:t>主要技术指标论证</w:t>
            </w:r>
          </w:p>
        </w:tc>
      </w:tr>
      <w:tr w14:paraId="3162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jc w:val="center"/>
        </w:trPr>
        <w:tc>
          <w:tcPr>
            <w:tcW w:w="1050" w:type="dxa"/>
            <w:shd w:val="clear" w:color="auto" w:fill="auto"/>
            <w:vAlign w:val="center"/>
          </w:tcPr>
          <w:p w14:paraId="60112DFB">
            <w:pPr>
              <w:jc w:val="center"/>
              <w:rPr>
                <w:sz w:val="24"/>
              </w:rPr>
            </w:pPr>
            <w:r>
              <w:rPr>
                <w:rFonts w:hint="eastAsia"/>
                <w:sz w:val="24"/>
              </w:rPr>
              <w:t>侯雷平</w:t>
            </w:r>
          </w:p>
        </w:tc>
        <w:tc>
          <w:tcPr>
            <w:tcW w:w="768" w:type="dxa"/>
            <w:shd w:val="clear" w:color="auto" w:fill="auto"/>
            <w:vAlign w:val="center"/>
          </w:tcPr>
          <w:p w14:paraId="79E74439">
            <w:pPr>
              <w:jc w:val="center"/>
              <w:rPr>
                <w:sz w:val="24"/>
              </w:rPr>
            </w:pPr>
            <w:r>
              <w:rPr>
                <w:rFonts w:hint="eastAsia"/>
                <w:sz w:val="24"/>
              </w:rPr>
              <w:t>男</w:t>
            </w:r>
          </w:p>
        </w:tc>
        <w:tc>
          <w:tcPr>
            <w:tcW w:w="2436" w:type="dxa"/>
            <w:shd w:val="clear" w:color="auto" w:fill="auto"/>
            <w:vAlign w:val="center"/>
          </w:tcPr>
          <w:p w14:paraId="72F1BCA4">
            <w:pPr>
              <w:jc w:val="center"/>
              <w:rPr>
                <w:sz w:val="24"/>
              </w:rPr>
            </w:pPr>
            <w:r>
              <w:rPr>
                <w:rFonts w:hint="eastAsia"/>
                <w:sz w:val="24"/>
              </w:rPr>
              <w:t>山西省蔬菜产业体系首席专家/教授</w:t>
            </w:r>
          </w:p>
        </w:tc>
        <w:tc>
          <w:tcPr>
            <w:tcW w:w="1939" w:type="dxa"/>
            <w:shd w:val="clear" w:color="auto" w:fill="auto"/>
            <w:vAlign w:val="center"/>
          </w:tcPr>
          <w:p w14:paraId="6BC54B72">
            <w:pPr>
              <w:jc w:val="center"/>
              <w:rPr>
                <w:sz w:val="24"/>
              </w:rPr>
            </w:pPr>
            <w:r>
              <w:rPr>
                <w:rFonts w:hint="eastAsia"/>
                <w:sz w:val="24"/>
              </w:rPr>
              <w:t>山西农业大学</w:t>
            </w:r>
          </w:p>
        </w:tc>
        <w:tc>
          <w:tcPr>
            <w:tcW w:w="2329" w:type="dxa"/>
            <w:shd w:val="clear" w:color="auto" w:fill="auto"/>
            <w:vAlign w:val="center"/>
          </w:tcPr>
          <w:p w14:paraId="4A0FE7C3">
            <w:pPr>
              <w:jc w:val="center"/>
              <w:rPr>
                <w:sz w:val="24"/>
              </w:rPr>
            </w:pPr>
            <w:r>
              <w:rPr>
                <w:rFonts w:hint="eastAsia"/>
                <w:sz w:val="24"/>
              </w:rPr>
              <w:t>组织修订小组</w:t>
            </w:r>
          </w:p>
        </w:tc>
      </w:tr>
    </w:tbl>
    <w:p w14:paraId="4937FE51">
      <w:pPr>
        <w:ind w:firstLine="240" w:firstLineChars="100"/>
        <w:rPr>
          <w:rFonts w:ascii="黑体" w:eastAsia="黑体"/>
          <w:sz w:val="24"/>
        </w:rPr>
      </w:pPr>
    </w:p>
    <w:p w14:paraId="6547A88E">
      <w:pPr>
        <w:ind w:firstLine="240" w:firstLineChars="100"/>
        <w:rPr>
          <w:rFonts w:ascii="黑体" w:eastAsia="黑体"/>
          <w:sz w:val="24"/>
        </w:rPr>
      </w:pPr>
      <w:r>
        <w:rPr>
          <w:rFonts w:hint="eastAsia" w:ascii="黑体" w:eastAsia="黑体"/>
          <w:sz w:val="24"/>
        </w:rPr>
        <w:t>二、制订标准的必要性和意义</w:t>
      </w:r>
    </w:p>
    <w:p w14:paraId="63CA2F75">
      <w:pPr>
        <w:ind w:firstLine="560" w:firstLineChars="200"/>
        <w:rPr>
          <w:rFonts w:hint="eastAsia" w:ascii="宋体" w:hAnsi="宋体" w:cs="宋体"/>
          <w:sz w:val="28"/>
          <w:szCs w:val="28"/>
        </w:rPr>
      </w:pPr>
      <w:r>
        <w:rPr>
          <w:rFonts w:hint="eastAsia" w:ascii="宋体" w:hAnsi="宋体" w:cs="宋体"/>
          <w:sz w:val="28"/>
          <w:szCs w:val="28"/>
        </w:rPr>
        <w:t>旱作节水农业在保障国家粮食安全、推动农业绿色发展方面具有重要作用。2022年，山西省农业农村厅制定印发了《山西省“十四五”有机旱作农业发展规划》，此规划深入贯彻落实习近平总书记视察山西重要讲话重要指示精神，持续推进有机旱作农业向纵深发展，带动全省农业生产方式转变、保障农产品有效供给、促进农产品质量不断提高，示范引领全国同类型地区旱作农业发展。我省山多沟深平地少，土地资源和水资源特别紧缺，发展旱作农业是破解土地制约和水资源制约的根本出路。</w:t>
      </w:r>
    </w:p>
    <w:p w14:paraId="2925FB3D">
      <w:pPr>
        <w:ind w:firstLine="560" w:firstLineChars="200"/>
        <w:rPr>
          <w:rFonts w:hint="eastAsia" w:ascii="宋体" w:hAnsi="宋体" w:cs="宋体"/>
          <w:sz w:val="28"/>
          <w:szCs w:val="28"/>
        </w:rPr>
      </w:pPr>
      <w:r>
        <w:rPr>
          <w:rFonts w:hint="eastAsia" w:ascii="宋体" w:hAnsi="宋体" w:cs="宋体"/>
          <w:sz w:val="28"/>
          <w:szCs w:val="28"/>
        </w:rPr>
        <w:t>甜瓜作为高经济价值的瓜果作物之一，受到消费者的广泛欢迎。因为其独特的风味和营养价值，在世界各地都享有盛名，在我国有着悠久的栽培历史。山西省光热资源比较丰富，具备甜瓜生产的有利条件，多地已形成各具特色的品牌甜瓜产业，例如定襄甜瓜、忻州义井甜瓜。在全省露地甜瓜生产过程中技术水平参差不齐，仍存在施肥灌溉不合理、机械化水平低、产品质量有待提高等问题。</w:t>
      </w:r>
    </w:p>
    <w:p w14:paraId="580BC578">
      <w:pPr>
        <w:spacing w:before="156" w:beforeLines="50" w:after="156" w:afterLines="50"/>
        <w:ind w:firstLine="560" w:firstLineChars="200"/>
        <w:rPr>
          <w:rFonts w:hint="eastAsia" w:ascii="宋体" w:hAnsi="宋体" w:cs="宋体"/>
          <w:sz w:val="28"/>
          <w:szCs w:val="28"/>
        </w:rPr>
      </w:pPr>
      <w:r>
        <w:rPr>
          <w:rFonts w:hint="eastAsia" w:ascii="宋体" w:hAnsi="宋体" w:cs="宋体"/>
          <w:sz w:val="28"/>
          <w:szCs w:val="28"/>
        </w:rPr>
        <w:t>山西省光热资源比较丰富，具备甜瓜生产的有利条件，多地已形成各具特色的品牌甜瓜产业，例如定襄甜瓜、忻州义井甜瓜。在全省露地甜瓜生产过程中技术水平参差不齐，仍存在施肥灌溉不合理、机械化水平低、产品质量有待提高等问题。</w:t>
      </w:r>
    </w:p>
    <w:p w14:paraId="35536F05">
      <w:pPr>
        <w:ind w:firstLine="280" w:firstLineChars="100"/>
        <w:rPr>
          <w:rFonts w:hint="eastAsia" w:ascii="宋体" w:hAnsi="宋体" w:cs="宋体"/>
          <w:sz w:val="28"/>
          <w:szCs w:val="28"/>
        </w:rPr>
      </w:pPr>
      <w:r>
        <w:rPr>
          <w:rFonts w:hint="eastAsia" w:ascii="宋体" w:hAnsi="宋体" w:cs="宋体"/>
          <w:sz w:val="28"/>
          <w:szCs w:val="28"/>
        </w:rPr>
        <w:t>目前山西省已发布地方标准都是设施内甜瓜栽培技术标准，因此，制定旱作甜瓜栽培技术标准，除了有利于加快有机旱作农业发展，带动地区产业，促进农民增收脱贫外，还填补了我省地方标准空白。</w:t>
      </w:r>
    </w:p>
    <w:p w14:paraId="0F8A636A">
      <w:pPr>
        <w:spacing w:before="156" w:beforeLines="50" w:after="156" w:afterLines="50"/>
        <w:ind w:firstLine="240" w:firstLineChars="100"/>
        <w:rPr>
          <w:rFonts w:ascii="黑体" w:eastAsia="黑体"/>
          <w:sz w:val="24"/>
        </w:rPr>
      </w:pPr>
      <w:r>
        <w:rPr>
          <w:rFonts w:hint="eastAsia" w:ascii="黑体" w:eastAsia="黑体"/>
          <w:sz w:val="24"/>
        </w:rPr>
        <w:t>三、主要起草工作过程</w:t>
      </w:r>
    </w:p>
    <w:p w14:paraId="411391D4">
      <w:pPr>
        <w:autoSpaceDE w:val="0"/>
        <w:autoSpaceDN w:val="0"/>
        <w:adjustRightInd w:val="0"/>
        <w:ind w:firstLine="560" w:firstLineChars="200"/>
        <w:jc w:val="left"/>
        <w:rPr>
          <w:sz w:val="28"/>
          <w:szCs w:val="28"/>
        </w:rPr>
      </w:pPr>
      <w:r>
        <w:rPr>
          <w:rFonts w:hint="eastAsia" w:cs="宋体"/>
          <w:sz w:val="28"/>
          <w:szCs w:val="28"/>
        </w:rPr>
        <w:t>山西农业大学园艺学院作为本标准的起草单位，长期以来与新疆农业科学院吴明珠院士团队合作，目前共同在研项目有“甜瓜重要性状形成的分子调控机制”，在研究过程中，积累了甜瓜栽培经验，为甜瓜旱作栽培技术地方标准的制定提供有力的支撑，在此基础上依据相关的国家、行业和地方的技术标准，集成并制定了《甜瓜旱作栽培技术规程》。</w:t>
      </w:r>
    </w:p>
    <w:p w14:paraId="3E0DD9AA">
      <w:pPr>
        <w:ind w:firstLine="475" w:firstLineChars="198"/>
        <w:rPr>
          <w:b/>
          <w:sz w:val="32"/>
          <w:szCs w:val="32"/>
        </w:rPr>
      </w:pPr>
      <w:r>
        <w:rPr>
          <w:rFonts w:hint="eastAsia" w:eastAsia="仿宋_GB2312"/>
          <w:bCs/>
          <w:sz w:val="24"/>
        </w:rPr>
        <w:t>1、成立标准修订工作组</w:t>
      </w:r>
    </w:p>
    <w:p w14:paraId="14EEE4D2">
      <w:pPr>
        <w:ind w:firstLine="560" w:firstLineChars="200"/>
        <w:rPr>
          <w:rFonts w:ascii="宋体"/>
          <w:sz w:val="28"/>
          <w:szCs w:val="28"/>
        </w:rPr>
      </w:pPr>
      <w:r>
        <w:rPr>
          <w:rFonts w:hint="eastAsia" w:ascii="宋体" w:hAnsi="宋体" w:cs="宋体"/>
          <w:sz w:val="28"/>
          <w:szCs w:val="28"/>
        </w:rPr>
        <w:t>接到项目任务以后，我们积极组织技术骨干成立《</w:t>
      </w:r>
      <w:r>
        <w:rPr>
          <w:rFonts w:hint="eastAsia" w:cs="宋体"/>
          <w:sz w:val="28"/>
          <w:szCs w:val="28"/>
        </w:rPr>
        <w:t>甜瓜旱作栽培技术规程</w:t>
      </w:r>
      <w:r>
        <w:rPr>
          <w:rFonts w:hint="eastAsia" w:ascii="宋体" w:hAnsi="宋体" w:cs="宋体"/>
          <w:sz w:val="28"/>
          <w:szCs w:val="28"/>
        </w:rPr>
        <w:t>》起草工作组，工作组成员具有较丰富的专业知识和实践经验，熟悉业务，了解标准化工作的相关规定并具有较强的文字表达能力。工作组成立后，认真学习了《标准化工作导则 第1部分：标准化文件的结构和起草规则》（</w:t>
      </w:r>
      <w:r>
        <w:rPr>
          <w:sz w:val="28"/>
          <w:szCs w:val="28"/>
        </w:rPr>
        <w:t>GB/T 1.1</w:t>
      </w:r>
      <w:r>
        <w:rPr>
          <w:rFonts w:ascii="宋体" w:cs="宋体"/>
          <w:sz w:val="28"/>
          <w:szCs w:val="28"/>
        </w:rPr>
        <w:t>-</w:t>
      </w:r>
      <w:r>
        <w:rPr>
          <w:sz w:val="28"/>
          <w:szCs w:val="28"/>
        </w:rPr>
        <w:t>20</w:t>
      </w:r>
      <w:r>
        <w:rPr>
          <w:rFonts w:hint="eastAsia"/>
          <w:sz w:val="28"/>
          <w:szCs w:val="28"/>
        </w:rPr>
        <w:t>20</w:t>
      </w:r>
      <w:r>
        <w:rPr>
          <w:rFonts w:hint="eastAsia" w:ascii="宋体" w:hAnsi="宋体" w:cs="宋体"/>
          <w:sz w:val="28"/>
          <w:szCs w:val="28"/>
        </w:rPr>
        <w:t>）和相关的国家标准与地方标准，制定了工作计划，明确了内部分工及进度要求，责任落实到人。</w:t>
      </w:r>
    </w:p>
    <w:p w14:paraId="221A1968">
      <w:pPr>
        <w:spacing w:line="400" w:lineRule="exact"/>
        <w:ind w:firstLine="480" w:firstLineChars="200"/>
        <w:rPr>
          <w:rFonts w:eastAsia="仿宋_GB2312"/>
          <w:bCs/>
          <w:sz w:val="24"/>
        </w:rPr>
      </w:pPr>
      <w:r>
        <w:rPr>
          <w:rFonts w:hint="eastAsia" w:eastAsia="仿宋_GB2312"/>
          <w:bCs/>
          <w:sz w:val="24"/>
        </w:rPr>
        <w:t>2、调研考察</w:t>
      </w:r>
    </w:p>
    <w:p w14:paraId="7717724C">
      <w:pPr>
        <w:ind w:firstLine="560" w:firstLineChars="200"/>
        <w:rPr>
          <w:rFonts w:hint="eastAsia" w:ascii="宋体" w:hAnsi="宋体" w:cs="宋体"/>
          <w:sz w:val="28"/>
          <w:szCs w:val="28"/>
        </w:rPr>
      </w:pPr>
      <w:r>
        <w:rPr>
          <w:rFonts w:hint="eastAsia" w:cs="宋体"/>
          <w:sz w:val="28"/>
          <w:szCs w:val="28"/>
        </w:rPr>
        <w:t>为了解山西省目前甜瓜旱作栽培技术现状，标准起草组组织人员分赴省内忻州、定襄等多个地区进行调研，了解目前露地甜瓜生产中的</w:t>
      </w:r>
      <w:r>
        <w:rPr>
          <w:rFonts w:hint="eastAsia" w:ascii="宋体" w:hAnsi="宋体" w:cs="宋体"/>
          <w:sz w:val="28"/>
          <w:szCs w:val="28"/>
        </w:rPr>
        <w:t>技术需求</w:t>
      </w:r>
      <w:r>
        <w:rPr>
          <w:rFonts w:hint="eastAsia" w:cs="宋体"/>
          <w:sz w:val="28"/>
          <w:szCs w:val="28"/>
        </w:rPr>
        <w:t>情况，广泛听取相关部门和种植户的意见和建议，</w:t>
      </w:r>
      <w:r>
        <w:rPr>
          <w:rFonts w:hint="eastAsia" w:ascii="宋体" w:hAnsi="宋体" w:cs="宋体"/>
          <w:sz w:val="28"/>
          <w:szCs w:val="28"/>
        </w:rPr>
        <w:t>充分了解目前</w:t>
      </w:r>
      <w:r>
        <w:rPr>
          <w:rFonts w:hint="eastAsia" w:cs="宋体"/>
          <w:sz w:val="28"/>
          <w:szCs w:val="28"/>
        </w:rPr>
        <w:t>露地甜瓜栽培技术</w:t>
      </w:r>
      <w:r>
        <w:rPr>
          <w:rFonts w:hint="eastAsia" w:ascii="宋体" w:hAnsi="宋体" w:cs="宋体"/>
          <w:sz w:val="28"/>
          <w:szCs w:val="28"/>
        </w:rPr>
        <w:t>的发展现状和存在的问题。</w:t>
      </w:r>
    </w:p>
    <w:p w14:paraId="5C732E21">
      <w:pPr>
        <w:ind w:firstLine="480" w:firstLineChars="200"/>
        <w:rPr>
          <w:rFonts w:hint="eastAsia" w:ascii="宋体" w:hAnsi="宋体" w:cs="宋体"/>
          <w:sz w:val="28"/>
          <w:szCs w:val="28"/>
        </w:rPr>
      </w:pPr>
      <w:r>
        <w:rPr>
          <w:rFonts w:hint="eastAsia" w:eastAsia="仿宋_GB2312"/>
          <w:bCs/>
          <w:sz w:val="24"/>
        </w:rPr>
        <w:t>3、收集资料</w:t>
      </w:r>
    </w:p>
    <w:p w14:paraId="0C8DE930">
      <w:pPr>
        <w:ind w:firstLine="560" w:firstLineChars="200"/>
        <w:rPr>
          <w:sz w:val="28"/>
          <w:szCs w:val="28"/>
        </w:rPr>
      </w:pPr>
      <w:r>
        <w:rPr>
          <w:rFonts w:hint="eastAsia" w:cs="宋体"/>
          <w:sz w:val="28"/>
          <w:szCs w:val="28"/>
        </w:rPr>
        <w:t>在上述基础上，结合近些年来项目组有关试验数据，并经过充分讨论，于</w:t>
      </w:r>
      <w:r>
        <w:rPr>
          <w:sz w:val="28"/>
          <w:szCs w:val="28"/>
        </w:rPr>
        <w:t>20</w:t>
      </w:r>
      <w:r>
        <w:rPr>
          <w:rFonts w:hint="eastAsia"/>
          <w:sz w:val="28"/>
          <w:szCs w:val="28"/>
        </w:rPr>
        <w:t>23</w:t>
      </w:r>
      <w:r>
        <w:rPr>
          <w:rFonts w:hint="eastAsia" w:cs="宋体"/>
          <w:sz w:val="28"/>
          <w:szCs w:val="28"/>
        </w:rPr>
        <w:t>年</w:t>
      </w:r>
      <w:r>
        <w:rPr>
          <w:rFonts w:hint="eastAsia"/>
          <w:sz w:val="28"/>
          <w:szCs w:val="28"/>
        </w:rPr>
        <w:t>1</w:t>
      </w:r>
      <w:r>
        <w:rPr>
          <w:rFonts w:hint="eastAsia" w:cs="宋体"/>
          <w:sz w:val="28"/>
          <w:szCs w:val="28"/>
        </w:rPr>
        <w:t>月形成标准撰写大纲，于</w:t>
      </w:r>
      <w:r>
        <w:rPr>
          <w:sz w:val="28"/>
          <w:szCs w:val="28"/>
        </w:rPr>
        <w:t>20</w:t>
      </w:r>
      <w:r>
        <w:rPr>
          <w:rFonts w:hint="eastAsia"/>
          <w:sz w:val="28"/>
          <w:szCs w:val="28"/>
        </w:rPr>
        <w:t>23</w:t>
      </w:r>
      <w:r>
        <w:rPr>
          <w:rFonts w:hint="eastAsia" w:cs="宋体"/>
          <w:sz w:val="28"/>
          <w:szCs w:val="28"/>
        </w:rPr>
        <w:t>年</w:t>
      </w:r>
      <w:r>
        <w:rPr>
          <w:rFonts w:hint="eastAsia"/>
          <w:sz w:val="28"/>
          <w:szCs w:val="28"/>
        </w:rPr>
        <w:t>2</w:t>
      </w:r>
      <w:r>
        <w:rPr>
          <w:rFonts w:hint="eastAsia" w:cs="宋体"/>
          <w:sz w:val="28"/>
          <w:szCs w:val="28"/>
        </w:rPr>
        <w:t>月完成了山西省甜瓜旱作栽培技术规程的初稿。</w:t>
      </w:r>
    </w:p>
    <w:p w14:paraId="6212BAFA">
      <w:pPr>
        <w:numPr>
          <w:ilvl w:val="0"/>
          <w:numId w:val="2"/>
        </w:numPr>
        <w:ind w:firstLine="480" w:firstLineChars="200"/>
        <w:rPr>
          <w:rFonts w:eastAsia="仿宋_GB2312"/>
          <w:bCs/>
          <w:sz w:val="24"/>
        </w:rPr>
      </w:pPr>
      <w:r>
        <w:rPr>
          <w:rFonts w:hint="eastAsia" w:eastAsia="仿宋_GB2312"/>
          <w:bCs/>
          <w:sz w:val="24"/>
        </w:rPr>
        <w:t>修订文本</w:t>
      </w:r>
    </w:p>
    <w:p w14:paraId="1A0B661B">
      <w:pPr>
        <w:autoSpaceDE w:val="0"/>
        <w:autoSpaceDN w:val="0"/>
        <w:adjustRightInd w:val="0"/>
        <w:ind w:firstLine="560" w:firstLineChars="200"/>
        <w:jc w:val="left"/>
        <w:rPr>
          <w:sz w:val="28"/>
          <w:szCs w:val="28"/>
        </w:rPr>
      </w:pPr>
      <w:r>
        <w:rPr>
          <w:rFonts w:hint="eastAsia" w:cs="宋体"/>
          <w:sz w:val="28"/>
          <w:szCs w:val="28"/>
        </w:rPr>
        <w:t>2023年2月本标准的起草小组完成《甜瓜旱作栽培技术规程》初稿和编制说明初稿。并将初稿发送至山西省农科院蔬菜研究所、山西省农业厅蔬菜产业管理站、山西省农业厅质量技术监督局征求意见。</w:t>
      </w:r>
      <w:r>
        <w:rPr>
          <w:rFonts w:hint="eastAsia" w:cs="宋体"/>
          <w:sz w:val="28"/>
          <w:szCs w:val="28"/>
          <w:lang w:val="en-US" w:eastAsia="zh-CN"/>
        </w:rPr>
        <w:t>具体征求意见</w:t>
      </w:r>
      <w:r>
        <w:rPr>
          <w:rFonts w:hint="eastAsia" w:cs="宋体"/>
          <w:sz w:val="28"/>
          <w:szCs w:val="28"/>
          <w:highlight w:val="none"/>
          <w:lang w:val="en-US" w:eastAsia="zh-CN"/>
        </w:rPr>
        <w:t>见表1。</w:t>
      </w:r>
      <w:r>
        <w:rPr>
          <w:sz w:val="28"/>
          <w:szCs w:val="28"/>
        </w:rPr>
        <w:t>针对上述单位提出的意见与建议，</w:t>
      </w:r>
      <w:r>
        <w:rPr>
          <w:rFonts w:hint="eastAsia"/>
          <w:sz w:val="28"/>
          <w:szCs w:val="28"/>
        </w:rPr>
        <w:t>修订</w:t>
      </w:r>
      <w:r>
        <w:rPr>
          <w:sz w:val="28"/>
          <w:szCs w:val="28"/>
        </w:rPr>
        <w:t>小组对本标准进行完善，并形成征求意见稿。</w:t>
      </w:r>
    </w:p>
    <w:p w14:paraId="300CA7A6">
      <w:pPr>
        <w:autoSpaceDE w:val="0"/>
        <w:autoSpaceDN w:val="0"/>
        <w:adjustRightInd w:val="0"/>
        <w:ind w:firstLine="560" w:firstLineChars="200"/>
        <w:jc w:val="left"/>
        <w:rPr>
          <w:sz w:val="28"/>
          <w:szCs w:val="28"/>
        </w:rPr>
      </w:pPr>
    </w:p>
    <w:p w14:paraId="78C75EFA">
      <w:pPr>
        <w:autoSpaceDE w:val="0"/>
        <w:autoSpaceDN w:val="0"/>
        <w:adjustRightInd w:val="0"/>
        <w:ind w:firstLine="560" w:firstLineChars="200"/>
        <w:jc w:val="left"/>
        <w:rPr>
          <w:sz w:val="28"/>
          <w:szCs w:val="28"/>
        </w:rPr>
      </w:pPr>
    </w:p>
    <w:p w14:paraId="49AF9A62">
      <w:pPr>
        <w:autoSpaceDE w:val="0"/>
        <w:autoSpaceDN w:val="0"/>
        <w:adjustRightInd w:val="0"/>
        <w:spacing w:before="156" w:beforeLines="50" w:after="156" w:afterLines="50"/>
        <w:ind w:firstLine="422" w:firstLineChars="200"/>
        <w:jc w:val="center"/>
        <w:rPr>
          <w:rFonts w:hint="default" w:cs="宋体"/>
          <w:b/>
          <w:bCs/>
        </w:rPr>
      </w:pPr>
      <w:r>
        <w:rPr>
          <w:rFonts w:hint="default" w:cs="宋体"/>
          <w:b/>
          <w:bCs/>
        </w:rPr>
        <w:t>表</w:t>
      </w:r>
      <w:r>
        <w:rPr>
          <w:rFonts w:hint="eastAsia" w:cs="宋体"/>
          <w:b/>
          <w:bCs/>
          <w:lang w:val="en-US" w:eastAsia="zh-CN"/>
        </w:rPr>
        <w:t>1</w:t>
      </w:r>
      <w:r>
        <w:rPr>
          <w:rFonts w:hint="default" w:cs="宋体"/>
          <w:b/>
          <w:bCs/>
        </w:rPr>
        <w:t xml:space="preserve"> 专家主要意见采纳情况表</w:t>
      </w:r>
    </w:p>
    <w:tbl>
      <w:tblPr>
        <w:tblStyle w:val="9"/>
        <w:tblW w:w="90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199"/>
        <w:gridCol w:w="2337"/>
        <w:gridCol w:w="1697"/>
        <w:gridCol w:w="1244"/>
        <w:gridCol w:w="1891"/>
      </w:tblGrid>
      <w:tr w14:paraId="11DB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678" w:type="dxa"/>
            <w:noWrap w:val="0"/>
            <w:vAlign w:val="center"/>
          </w:tcPr>
          <w:p w14:paraId="63E6519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序号</w:t>
            </w:r>
          </w:p>
        </w:tc>
        <w:tc>
          <w:tcPr>
            <w:tcW w:w="1199" w:type="dxa"/>
            <w:noWrap w:val="0"/>
            <w:vAlign w:val="center"/>
          </w:tcPr>
          <w:p w14:paraId="7C2AAF6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章条编号</w:t>
            </w:r>
          </w:p>
        </w:tc>
        <w:tc>
          <w:tcPr>
            <w:tcW w:w="2337" w:type="dxa"/>
            <w:noWrap w:val="0"/>
            <w:vAlign w:val="center"/>
          </w:tcPr>
          <w:p w14:paraId="1CDB3FA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意见内容</w:t>
            </w:r>
          </w:p>
        </w:tc>
        <w:tc>
          <w:tcPr>
            <w:tcW w:w="1697" w:type="dxa"/>
            <w:noWrap w:val="0"/>
            <w:vAlign w:val="center"/>
          </w:tcPr>
          <w:p w14:paraId="4B27A99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提出单位</w:t>
            </w:r>
          </w:p>
        </w:tc>
        <w:tc>
          <w:tcPr>
            <w:tcW w:w="1244" w:type="dxa"/>
            <w:noWrap w:val="0"/>
            <w:vAlign w:val="center"/>
          </w:tcPr>
          <w:p w14:paraId="23FDF38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处理意见</w:t>
            </w:r>
          </w:p>
        </w:tc>
        <w:tc>
          <w:tcPr>
            <w:tcW w:w="1891" w:type="dxa"/>
            <w:noWrap w:val="0"/>
            <w:vAlign w:val="center"/>
          </w:tcPr>
          <w:p w14:paraId="4B02574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备注</w:t>
            </w:r>
          </w:p>
        </w:tc>
      </w:tr>
      <w:tr w14:paraId="091E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2" w:hRule="exact"/>
          <w:jc w:val="center"/>
        </w:trPr>
        <w:tc>
          <w:tcPr>
            <w:tcW w:w="678" w:type="dxa"/>
            <w:noWrap w:val="0"/>
            <w:vAlign w:val="center"/>
          </w:tcPr>
          <w:p w14:paraId="0FF43E0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p>
        </w:tc>
        <w:tc>
          <w:tcPr>
            <w:tcW w:w="1199" w:type="dxa"/>
            <w:noWrap w:val="0"/>
            <w:vAlign w:val="center"/>
          </w:tcPr>
          <w:p w14:paraId="628806D8">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eastAsia="楷体"/>
                <w:sz w:val="18"/>
                <w:szCs w:val="18"/>
                <w:highlight w:val="none"/>
                <w:lang w:val="en-US" w:eastAsia="zh-CN"/>
              </w:rPr>
              <w:t>2</w:t>
            </w:r>
            <w:r>
              <w:rPr>
                <w:rFonts w:eastAsia="楷体"/>
                <w:sz w:val="18"/>
                <w:szCs w:val="18"/>
                <w:highlight w:val="none"/>
              </w:rPr>
              <w:t>规范性引用文件</w:t>
            </w:r>
          </w:p>
        </w:tc>
        <w:tc>
          <w:tcPr>
            <w:tcW w:w="2337" w:type="dxa"/>
            <w:noWrap w:val="0"/>
            <w:vAlign w:val="center"/>
          </w:tcPr>
          <w:p w14:paraId="6B50C671">
            <w:pPr>
              <w:spacing w:line="300" w:lineRule="exact"/>
              <w:jc w:val="left"/>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rPr>
              <w:t>“规范性引用文件”必须是</w:t>
            </w:r>
            <w:r>
              <w:rPr>
                <w:rFonts w:hint="eastAsia" w:ascii="楷体" w:hAnsi="楷体" w:eastAsia="楷体" w:cs="楷体"/>
                <w:sz w:val="18"/>
                <w:szCs w:val="18"/>
                <w:highlight w:val="none"/>
                <w:lang w:val="en-US" w:eastAsia="zh-CN"/>
              </w:rPr>
              <w:t>现行的和</w:t>
            </w:r>
            <w:r>
              <w:rPr>
                <w:rFonts w:hint="eastAsia" w:ascii="楷体" w:hAnsi="楷体" w:eastAsia="楷体" w:cs="楷体"/>
                <w:sz w:val="18"/>
                <w:szCs w:val="18"/>
                <w:highlight w:val="none"/>
              </w:rPr>
              <w:t>本规程相关， 建议删除</w:t>
            </w:r>
            <w:r>
              <w:rPr>
                <w:rFonts w:hint="eastAsia" w:ascii="楷体" w:hAnsi="楷体" w:eastAsia="楷体" w:cs="楷体"/>
                <w:sz w:val="18"/>
                <w:szCs w:val="18"/>
                <w:highlight w:val="none"/>
                <w:lang w:val="en-US" w:eastAsia="zh-CN"/>
              </w:rPr>
              <w:t>作废的及非山西省地方标准的</w:t>
            </w:r>
            <w:r>
              <w:rPr>
                <w:rFonts w:hint="eastAsia" w:ascii="楷体" w:hAnsi="楷体" w:eastAsia="楷体" w:cs="楷体"/>
                <w:sz w:val="18"/>
                <w:szCs w:val="18"/>
                <w:highlight w:val="none"/>
              </w:rPr>
              <w:t>引用。</w:t>
            </w:r>
          </w:p>
        </w:tc>
        <w:tc>
          <w:tcPr>
            <w:tcW w:w="1697" w:type="dxa"/>
            <w:noWrap w:val="0"/>
            <w:vAlign w:val="center"/>
          </w:tcPr>
          <w:p w14:paraId="09CB69DF">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ascii="楷体" w:hAnsi="楷体" w:eastAsia="楷体" w:cs="楷体"/>
                <w:sz w:val="18"/>
                <w:szCs w:val="18"/>
                <w:highlight w:val="none"/>
              </w:rPr>
              <w:t>山西省农业厅</w:t>
            </w:r>
          </w:p>
        </w:tc>
        <w:tc>
          <w:tcPr>
            <w:tcW w:w="1244" w:type="dxa"/>
            <w:noWrap w:val="0"/>
            <w:vAlign w:val="center"/>
          </w:tcPr>
          <w:p w14:paraId="3610F3C6">
            <w:pPr>
              <w:spacing w:line="300" w:lineRule="exact"/>
              <w:ind w:left="-107" w:leftChars="-51" w:firstLine="68" w:firstLineChars="38"/>
              <w:jc w:val="center"/>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rPr>
              <w:t>是</w:t>
            </w:r>
          </w:p>
        </w:tc>
        <w:tc>
          <w:tcPr>
            <w:tcW w:w="1891" w:type="dxa"/>
            <w:noWrap w:val="0"/>
            <w:vAlign w:val="center"/>
          </w:tcPr>
          <w:p w14:paraId="3CAAC22F">
            <w:pPr>
              <w:spacing w:line="300" w:lineRule="exact"/>
              <w:jc w:val="left"/>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rPr>
              <w:t>删除</w:t>
            </w:r>
            <w:r>
              <w:rPr>
                <w:rFonts w:hint="eastAsia" w:ascii="楷体" w:hAnsi="楷体" w:eastAsia="楷体" w:cs="楷体"/>
                <w:sz w:val="18"/>
                <w:szCs w:val="18"/>
                <w:highlight w:val="none"/>
                <w:lang w:val="en-US" w:eastAsia="zh-CN"/>
              </w:rPr>
              <w:t>作废的及非山西省地方</w:t>
            </w:r>
            <w:r>
              <w:rPr>
                <w:rFonts w:hint="eastAsia" w:ascii="楷体" w:hAnsi="楷体" w:eastAsia="楷体" w:cs="楷体"/>
                <w:sz w:val="18"/>
                <w:szCs w:val="18"/>
                <w:highlight w:val="none"/>
              </w:rPr>
              <w:t>标准的引用。</w:t>
            </w:r>
          </w:p>
        </w:tc>
      </w:tr>
      <w:tr w14:paraId="69839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exact"/>
          <w:jc w:val="center"/>
        </w:trPr>
        <w:tc>
          <w:tcPr>
            <w:tcW w:w="678" w:type="dxa"/>
            <w:noWrap w:val="0"/>
            <w:vAlign w:val="center"/>
          </w:tcPr>
          <w:p w14:paraId="2C1A034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w:t>
            </w:r>
          </w:p>
        </w:tc>
        <w:tc>
          <w:tcPr>
            <w:tcW w:w="1199" w:type="dxa"/>
            <w:noWrap w:val="0"/>
            <w:vAlign w:val="center"/>
          </w:tcPr>
          <w:p w14:paraId="3D8238C1">
            <w:pPr>
              <w:pStyle w:val="2"/>
              <w:numPr>
                <w:ilvl w:val="0"/>
                <w:numId w:val="0"/>
              </w:numPr>
              <w:spacing w:before="312" w:after="312"/>
              <w:ind w:left="0" w:leftChars="0" w:firstLine="0" w:firstLineChars="0"/>
              <w:jc w:val="center"/>
              <w:outlineLvl w:val="0"/>
              <w:rPr>
                <w:rFonts w:hint="default" w:ascii="Times New Roman" w:hAnsi="Times New Roman" w:eastAsia="宋体" w:cs="Times New Roman"/>
                <w:sz w:val="21"/>
                <w:szCs w:val="21"/>
                <w:highlight w:val="none"/>
                <w:lang w:eastAsia="zh-CN"/>
              </w:rPr>
            </w:pPr>
            <w:r>
              <w:rPr>
                <w:rFonts w:hint="eastAsia" w:ascii="Times New Roman" w:hAnsi="Times New Roman" w:eastAsia="楷体" w:cs="Times New Roman"/>
                <w:b w:val="0"/>
                <w:bCs w:val="0"/>
                <w:kern w:val="2"/>
                <w:sz w:val="18"/>
                <w:szCs w:val="18"/>
                <w:highlight w:val="none"/>
                <w:lang w:val="en-US" w:eastAsia="zh-CN"/>
              </w:rPr>
              <w:t xml:space="preserve">5播前准备 </w:t>
            </w:r>
          </w:p>
        </w:tc>
        <w:tc>
          <w:tcPr>
            <w:tcW w:w="2337" w:type="dxa"/>
            <w:noWrap w:val="0"/>
            <w:vAlign w:val="center"/>
          </w:tcPr>
          <w:p w14:paraId="6FFAE167">
            <w:pPr>
              <w:spacing w:line="300" w:lineRule="exact"/>
              <w:jc w:val="left"/>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lang w:val="en-US" w:eastAsia="zh-CN"/>
              </w:rPr>
              <w:t>建议添加“</w:t>
            </w:r>
            <w:r>
              <w:rPr>
                <w:rFonts w:hint="eastAsia" w:eastAsia="楷体"/>
                <w:sz w:val="18"/>
                <w:szCs w:val="18"/>
                <w:highlight w:val="none"/>
                <w:lang w:val="en-US" w:eastAsia="zh-CN"/>
              </w:rPr>
              <w:t>苗期管理</w:t>
            </w:r>
            <w:r>
              <w:rPr>
                <w:rFonts w:hint="eastAsia" w:ascii="楷体" w:hAnsi="楷体" w:eastAsia="楷体" w:cs="楷体"/>
                <w:sz w:val="18"/>
                <w:szCs w:val="18"/>
                <w:highlight w:val="none"/>
                <w:lang w:val="en-US" w:eastAsia="zh-CN"/>
              </w:rPr>
              <w:t>”。</w:t>
            </w:r>
          </w:p>
        </w:tc>
        <w:tc>
          <w:tcPr>
            <w:tcW w:w="1697" w:type="dxa"/>
            <w:noWrap w:val="0"/>
            <w:vAlign w:val="center"/>
          </w:tcPr>
          <w:p w14:paraId="021E42B9">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ascii="楷体" w:hAnsi="楷体" w:eastAsia="楷体" w:cs="楷体"/>
                <w:sz w:val="18"/>
                <w:szCs w:val="18"/>
                <w:highlight w:val="none"/>
              </w:rPr>
              <w:t>山西省农业厅</w:t>
            </w:r>
          </w:p>
        </w:tc>
        <w:tc>
          <w:tcPr>
            <w:tcW w:w="1244" w:type="dxa"/>
            <w:noWrap w:val="0"/>
            <w:vAlign w:val="center"/>
          </w:tcPr>
          <w:p w14:paraId="4D350610">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ascii="楷体" w:hAnsi="楷体" w:eastAsia="楷体" w:cs="楷体"/>
                <w:sz w:val="18"/>
                <w:szCs w:val="18"/>
                <w:highlight w:val="none"/>
              </w:rPr>
              <w:t>是</w:t>
            </w:r>
          </w:p>
        </w:tc>
        <w:tc>
          <w:tcPr>
            <w:tcW w:w="1891" w:type="dxa"/>
            <w:noWrap w:val="0"/>
            <w:vAlign w:val="center"/>
          </w:tcPr>
          <w:p w14:paraId="676FC891">
            <w:pPr>
              <w:spacing w:line="300" w:lineRule="exact"/>
              <w:jc w:val="left"/>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rPr>
              <w:t>按照专家</w:t>
            </w:r>
            <w:r>
              <w:rPr>
                <w:rFonts w:hint="eastAsia" w:ascii="楷体" w:hAnsi="楷体" w:eastAsia="楷体" w:cs="楷体"/>
                <w:sz w:val="18"/>
                <w:szCs w:val="18"/>
                <w:highlight w:val="none"/>
                <w:lang w:val="en-US" w:eastAsia="zh-CN"/>
              </w:rPr>
              <w:t>意见进行补充</w:t>
            </w:r>
            <w:r>
              <w:rPr>
                <w:rFonts w:hint="eastAsia" w:ascii="楷体" w:hAnsi="楷体" w:eastAsia="楷体" w:cs="楷体"/>
                <w:sz w:val="18"/>
                <w:szCs w:val="18"/>
                <w:highlight w:val="none"/>
              </w:rPr>
              <w:t>。</w:t>
            </w:r>
          </w:p>
        </w:tc>
      </w:tr>
      <w:tr w14:paraId="5F97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exact"/>
          <w:jc w:val="center"/>
        </w:trPr>
        <w:tc>
          <w:tcPr>
            <w:tcW w:w="678" w:type="dxa"/>
            <w:noWrap w:val="0"/>
            <w:vAlign w:val="center"/>
          </w:tcPr>
          <w:p w14:paraId="6983C9B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w:t>
            </w:r>
          </w:p>
        </w:tc>
        <w:tc>
          <w:tcPr>
            <w:tcW w:w="1199" w:type="dxa"/>
            <w:noWrap w:val="0"/>
            <w:vAlign w:val="center"/>
          </w:tcPr>
          <w:p w14:paraId="684F5897">
            <w:pPr>
              <w:pStyle w:val="2"/>
              <w:numPr>
                <w:ilvl w:val="0"/>
                <w:numId w:val="0"/>
              </w:numPr>
              <w:spacing w:before="312" w:after="312"/>
              <w:ind w:left="0" w:leftChars="0" w:firstLine="0" w:firstLineChars="0"/>
              <w:jc w:val="center"/>
              <w:outlineLvl w:val="0"/>
              <w:rPr>
                <w:rFonts w:hint="default" w:ascii="Times New Roman" w:hAnsi="Times New Roman" w:eastAsia="宋体" w:cs="Times New Roman"/>
                <w:sz w:val="21"/>
                <w:szCs w:val="21"/>
                <w:highlight w:val="none"/>
                <w:lang w:eastAsia="zh-CN"/>
              </w:rPr>
            </w:pPr>
            <w:r>
              <w:rPr>
                <w:rFonts w:hint="eastAsia" w:ascii="Times New Roman" w:hAnsi="Times New Roman" w:eastAsia="楷体" w:cs="Times New Roman"/>
                <w:b w:val="0"/>
                <w:bCs w:val="0"/>
                <w:kern w:val="2"/>
                <w:sz w:val="18"/>
                <w:szCs w:val="18"/>
                <w:highlight w:val="none"/>
                <w:lang w:val="en-US" w:eastAsia="zh-CN"/>
              </w:rPr>
              <w:t>8</w:t>
            </w:r>
            <w:r>
              <w:rPr>
                <w:rFonts w:hint="eastAsia" w:ascii="Times New Roman" w:hAnsi="Times New Roman" w:eastAsia="楷体" w:cs="Times New Roman"/>
                <w:b w:val="0"/>
                <w:bCs w:val="0"/>
                <w:kern w:val="2"/>
                <w:sz w:val="18"/>
                <w:szCs w:val="18"/>
                <w:highlight w:val="none"/>
              </w:rPr>
              <w:t>病虫害防治</w:t>
            </w:r>
          </w:p>
        </w:tc>
        <w:tc>
          <w:tcPr>
            <w:tcW w:w="2337" w:type="dxa"/>
            <w:noWrap w:val="0"/>
            <w:vAlign w:val="center"/>
          </w:tcPr>
          <w:p w14:paraId="43359E5B">
            <w:pPr>
              <w:spacing w:line="300" w:lineRule="exact"/>
              <w:jc w:val="left"/>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rPr>
              <w:t>建议</w:t>
            </w:r>
            <w:r>
              <w:rPr>
                <w:rFonts w:hint="eastAsia" w:ascii="楷体" w:hAnsi="楷体" w:eastAsia="楷体" w:cs="楷体"/>
                <w:sz w:val="18"/>
                <w:szCs w:val="18"/>
                <w:highlight w:val="none"/>
                <w:lang w:val="en-US" w:eastAsia="zh-CN"/>
              </w:rPr>
              <w:t>添加主要病虫害类型。</w:t>
            </w:r>
          </w:p>
        </w:tc>
        <w:tc>
          <w:tcPr>
            <w:tcW w:w="1697" w:type="dxa"/>
            <w:noWrap w:val="0"/>
            <w:vAlign w:val="center"/>
          </w:tcPr>
          <w:p w14:paraId="0FA1EFB7">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ascii="楷体" w:hAnsi="楷体" w:eastAsia="楷体" w:cs="楷体"/>
                <w:sz w:val="18"/>
                <w:szCs w:val="18"/>
                <w:highlight w:val="none"/>
              </w:rPr>
              <w:t>山西省农业厅</w:t>
            </w:r>
          </w:p>
        </w:tc>
        <w:tc>
          <w:tcPr>
            <w:tcW w:w="1244" w:type="dxa"/>
            <w:noWrap w:val="0"/>
            <w:vAlign w:val="center"/>
          </w:tcPr>
          <w:p w14:paraId="469AACCD">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ascii="楷体" w:hAnsi="楷体" w:eastAsia="楷体" w:cs="楷体"/>
                <w:sz w:val="18"/>
                <w:szCs w:val="18"/>
                <w:highlight w:val="none"/>
              </w:rPr>
              <w:t>是</w:t>
            </w:r>
          </w:p>
        </w:tc>
        <w:tc>
          <w:tcPr>
            <w:tcW w:w="1891" w:type="dxa"/>
            <w:noWrap w:val="0"/>
            <w:vAlign w:val="center"/>
          </w:tcPr>
          <w:p w14:paraId="47642A66">
            <w:pPr>
              <w:spacing w:line="300" w:lineRule="exact"/>
              <w:jc w:val="left"/>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rPr>
              <w:t>按照专家建议进行</w:t>
            </w:r>
            <w:r>
              <w:rPr>
                <w:rFonts w:hint="eastAsia" w:ascii="楷体" w:hAnsi="楷体" w:eastAsia="楷体" w:cs="楷体"/>
                <w:sz w:val="18"/>
                <w:szCs w:val="18"/>
                <w:highlight w:val="none"/>
                <w:lang w:val="en-US" w:eastAsia="zh-CN"/>
              </w:rPr>
              <w:t>补充</w:t>
            </w:r>
            <w:r>
              <w:rPr>
                <w:rFonts w:hint="eastAsia" w:ascii="楷体" w:hAnsi="楷体" w:eastAsia="楷体" w:cs="楷体"/>
                <w:sz w:val="18"/>
                <w:szCs w:val="18"/>
                <w:highlight w:val="none"/>
              </w:rPr>
              <w:t>。</w:t>
            </w:r>
          </w:p>
        </w:tc>
      </w:tr>
      <w:tr w14:paraId="303C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exact"/>
          <w:jc w:val="center"/>
        </w:trPr>
        <w:tc>
          <w:tcPr>
            <w:tcW w:w="678" w:type="dxa"/>
            <w:noWrap w:val="0"/>
            <w:vAlign w:val="center"/>
          </w:tcPr>
          <w:p w14:paraId="18D839E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4</w:t>
            </w:r>
          </w:p>
        </w:tc>
        <w:tc>
          <w:tcPr>
            <w:tcW w:w="1199" w:type="dxa"/>
            <w:noWrap w:val="0"/>
            <w:vAlign w:val="center"/>
          </w:tcPr>
          <w:p w14:paraId="3E71D4E8">
            <w:pPr>
              <w:pStyle w:val="2"/>
              <w:numPr>
                <w:ilvl w:val="0"/>
                <w:numId w:val="0"/>
              </w:numPr>
              <w:spacing w:before="312" w:after="312"/>
              <w:ind w:left="0" w:leftChars="0" w:firstLine="0" w:firstLineChars="0"/>
              <w:jc w:val="center"/>
              <w:outlineLvl w:val="0"/>
              <w:rPr>
                <w:rFonts w:hint="default" w:ascii="Times New Roman" w:hAnsi="Times New Roman" w:eastAsia="宋体" w:cs="Times New Roman"/>
                <w:sz w:val="21"/>
                <w:szCs w:val="21"/>
                <w:highlight w:val="none"/>
                <w:lang w:eastAsia="zh-CN"/>
              </w:rPr>
            </w:pPr>
            <w:r>
              <w:rPr>
                <w:rFonts w:hint="eastAsia" w:ascii="Times New Roman" w:hAnsi="Times New Roman" w:eastAsia="楷体" w:cs="Times New Roman"/>
                <w:b w:val="0"/>
                <w:bCs w:val="0"/>
                <w:kern w:val="2"/>
                <w:sz w:val="18"/>
                <w:szCs w:val="18"/>
                <w:highlight w:val="none"/>
                <w:lang w:val="en-US" w:eastAsia="zh-CN"/>
              </w:rPr>
              <w:t>8</w:t>
            </w:r>
            <w:r>
              <w:rPr>
                <w:rFonts w:hint="eastAsia" w:ascii="Times New Roman" w:hAnsi="Times New Roman" w:eastAsia="楷体" w:cs="Times New Roman"/>
                <w:b w:val="0"/>
                <w:bCs w:val="0"/>
                <w:kern w:val="2"/>
                <w:sz w:val="18"/>
                <w:szCs w:val="18"/>
                <w:highlight w:val="none"/>
              </w:rPr>
              <w:t>病虫害防治</w:t>
            </w:r>
          </w:p>
        </w:tc>
        <w:tc>
          <w:tcPr>
            <w:tcW w:w="2337" w:type="dxa"/>
            <w:noWrap w:val="0"/>
            <w:vAlign w:val="center"/>
          </w:tcPr>
          <w:p w14:paraId="5AFB9BDD">
            <w:pPr>
              <w:spacing w:line="300" w:lineRule="exact"/>
              <w:jc w:val="left"/>
              <w:rPr>
                <w:rFonts w:hint="default" w:ascii="楷体" w:hAnsi="楷体" w:eastAsia="楷体" w:cs="楷体"/>
                <w:sz w:val="18"/>
                <w:szCs w:val="18"/>
                <w:highlight w:val="none"/>
                <w:lang w:val="en-US" w:eastAsia="zh-CN"/>
              </w:rPr>
            </w:pPr>
            <w:r>
              <w:rPr>
                <w:rFonts w:hint="eastAsia" w:ascii="楷体" w:hAnsi="楷体" w:eastAsia="楷体" w:cs="楷体"/>
                <w:sz w:val="18"/>
                <w:szCs w:val="18"/>
                <w:highlight w:val="none"/>
                <w:lang w:val="en-US" w:eastAsia="zh-CN"/>
              </w:rPr>
              <w:t>将表2中的禁用限用农药进行替换。</w:t>
            </w:r>
          </w:p>
        </w:tc>
        <w:tc>
          <w:tcPr>
            <w:tcW w:w="1697" w:type="dxa"/>
            <w:noWrap w:val="0"/>
            <w:vAlign w:val="center"/>
          </w:tcPr>
          <w:p w14:paraId="284E0EE5">
            <w:pPr>
              <w:spacing w:line="300" w:lineRule="exact"/>
              <w:ind w:firstLine="180" w:firstLineChars="100"/>
              <w:jc w:val="left"/>
              <w:rPr>
                <w:rFonts w:hint="default" w:ascii="楷体" w:hAnsi="楷体" w:eastAsia="楷体" w:cs="楷体"/>
                <w:sz w:val="18"/>
                <w:szCs w:val="18"/>
                <w:highlight w:val="none"/>
                <w:lang w:val="en-US" w:eastAsia="zh-CN"/>
              </w:rPr>
            </w:pPr>
            <w:r>
              <w:rPr>
                <w:rFonts w:hint="eastAsia" w:ascii="楷体" w:hAnsi="楷体" w:eastAsia="楷体" w:cs="楷体"/>
                <w:sz w:val="18"/>
                <w:szCs w:val="18"/>
                <w:highlight w:val="none"/>
                <w:lang w:val="en-US" w:eastAsia="zh-CN"/>
              </w:rPr>
              <w:t>山西省农业厅</w:t>
            </w:r>
          </w:p>
        </w:tc>
        <w:tc>
          <w:tcPr>
            <w:tcW w:w="1244" w:type="dxa"/>
            <w:noWrap w:val="0"/>
            <w:vAlign w:val="center"/>
          </w:tcPr>
          <w:p w14:paraId="00B98A16">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ascii="楷体" w:hAnsi="楷体" w:eastAsia="楷体" w:cs="楷体"/>
                <w:sz w:val="18"/>
                <w:szCs w:val="18"/>
                <w:highlight w:val="none"/>
              </w:rPr>
              <w:t>是</w:t>
            </w:r>
          </w:p>
        </w:tc>
        <w:tc>
          <w:tcPr>
            <w:tcW w:w="1891" w:type="dxa"/>
            <w:noWrap w:val="0"/>
            <w:vAlign w:val="center"/>
          </w:tcPr>
          <w:p w14:paraId="48EBEDD0">
            <w:pPr>
              <w:spacing w:line="300" w:lineRule="exact"/>
              <w:jc w:val="left"/>
              <w:rPr>
                <w:rFonts w:hint="default" w:ascii="Times New Roman" w:hAnsi="Times New Roman" w:eastAsia="宋体" w:cs="Times New Roman"/>
                <w:sz w:val="21"/>
                <w:szCs w:val="21"/>
                <w:highlight w:val="none"/>
              </w:rPr>
            </w:pPr>
            <w:r>
              <w:rPr>
                <w:rFonts w:hint="eastAsia" w:ascii="楷体" w:hAnsi="楷体" w:eastAsia="楷体" w:cs="楷体"/>
                <w:sz w:val="18"/>
                <w:szCs w:val="18"/>
                <w:highlight w:val="none"/>
              </w:rPr>
              <w:t>按照专家建议</w:t>
            </w:r>
            <w:r>
              <w:rPr>
                <w:rFonts w:hint="eastAsia" w:ascii="楷体" w:hAnsi="楷体" w:eastAsia="楷体" w:cs="楷体"/>
                <w:sz w:val="18"/>
                <w:szCs w:val="18"/>
                <w:highlight w:val="none"/>
                <w:lang w:val="en-US" w:eastAsia="zh-CN"/>
              </w:rPr>
              <w:t>替换</w:t>
            </w:r>
            <w:r>
              <w:rPr>
                <w:rFonts w:hint="eastAsia" w:ascii="楷体" w:hAnsi="楷体" w:eastAsia="楷体" w:cs="楷体"/>
                <w:sz w:val="18"/>
                <w:szCs w:val="18"/>
                <w:highlight w:val="none"/>
              </w:rPr>
              <w:t>。</w:t>
            </w:r>
          </w:p>
        </w:tc>
      </w:tr>
      <w:tr w14:paraId="5985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exact"/>
          <w:jc w:val="center"/>
        </w:trPr>
        <w:tc>
          <w:tcPr>
            <w:tcW w:w="678" w:type="dxa"/>
            <w:noWrap w:val="0"/>
            <w:vAlign w:val="center"/>
          </w:tcPr>
          <w:p w14:paraId="4EC3746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5</w:t>
            </w:r>
          </w:p>
        </w:tc>
        <w:tc>
          <w:tcPr>
            <w:tcW w:w="1199" w:type="dxa"/>
            <w:noWrap w:val="0"/>
            <w:vAlign w:val="center"/>
          </w:tcPr>
          <w:p w14:paraId="3F5589DF">
            <w:pPr>
              <w:pStyle w:val="2"/>
              <w:numPr>
                <w:ilvl w:val="0"/>
                <w:numId w:val="0"/>
              </w:numPr>
              <w:spacing w:before="312" w:after="312"/>
              <w:ind w:left="0" w:leftChars="0" w:firstLine="0" w:firstLineChars="0"/>
              <w:jc w:val="center"/>
              <w:outlineLvl w:val="0"/>
              <w:rPr>
                <w:rFonts w:hint="default" w:ascii="Times New Roman" w:hAnsi="Times New Roman" w:eastAsia="宋体" w:cs="Times New Roman"/>
                <w:sz w:val="21"/>
                <w:szCs w:val="21"/>
                <w:highlight w:val="none"/>
                <w:lang w:eastAsia="zh-CN"/>
              </w:rPr>
            </w:pPr>
            <w:r>
              <w:rPr>
                <w:rFonts w:hint="eastAsia" w:ascii="Times New Roman" w:hAnsi="Times New Roman" w:eastAsia="楷体" w:cs="Times New Roman"/>
                <w:b w:val="0"/>
                <w:bCs w:val="0"/>
                <w:kern w:val="2"/>
                <w:sz w:val="18"/>
                <w:szCs w:val="18"/>
                <w:highlight w:val="none"/>
                <w:lang w:val="en-US" w:eastAsia="zh-CN"/>
              </w:rPr>
              <w:t>8</w:t>
            </w:r>
            <w:r>
              <w:rPr>
                <w:rFonts w:hint="eastAsia" w:ascii="Times New Roman" w:hAnsi="Times New Roman" w:eastAsia="楷体" w:cs="Times New Roman"/>
                <w:b w:val="0"/>
                <w:bCs w:val="0"/>
                <w:kern w:val="2"/>
                <w:sz w:val="18"/>
                <w:szCs w:val="18"/>
                <w:highlight w:val="none"/>
              </w:rPr>
              <w:t>病虫害防治</w:t>
            </w:r>
          </w:p>
        </w:tc>
        <w:tc>
          <w:tcPr>
            <w:tcW w:w="2337" w:type="dxa"/>
            <w:noWrap w:val="0"/>
            <w:vAlign w:val="center"/>
          </w:tcPr>
          <w:p w14:paraId="73C57FD1">
            <w:pPr>
              <w:spacing w:line="300" w:lineRule="exact"/>
              <w:jc w:val="left"/>
              <w:rPr>
                <w:rFonts w:hint="default" w:ascii="楷体" w:hAnsi="楷体" w:eastAsia="楷体" w:cs="楷体"/>
                <w:sz w:val="18"/>
                <w:szCs w:val="18"/>
                <w:highlight w:val="none"/>
                <w:lang w:val="en-US" w:eastAsia="zh-CN"/>
              </w:rPr>
            </w:pPr>
            <w:r>
              <w:rPr>
                <w:rFonts w:hint="eastAsia" w:ascii="楷体" w:hAnsi="楷体" w:eastAsia="楷体" w:cs="楷体"/>
                <w:sz w:val="18"/>
                <w:szCs w:val="18"/>
                <w:highlight w:val="none"/>
                <w:lang w:val="en-US" w:eastAsia="zh-CN"/>
              </w:rPr>
              <w:t>8.3.2 物理防治中建议添加杀虫灯的摆放密度</w:t>
            </w:r>
          </w:p>
        </w:tc>
        <w:tc>
          <w:tcPr>
            <w:tcW w:w="1697" w:type="dxa"/>
            <w:noWrap w:val="0"/>
            <w:vAlign w:val="center"/>
          </w:tcPr>
          <w:p w14:paraId="238016F8">
            <w:pPr>
              <w:spacing w:line="300" w:lineRule="exact"/>
              <w:ind w:firstLine="180" w:firstLineChars="100"/>
              <w:jc w:val="left"/>
              <w:rPr>
                <w:rFonts w:hint="default" w:ascii="楷体" w:hAnsi="楷体" w:eastAsia="楷体" w:cs="楷体"/>
                <w:sz w:val="18"/>
                <w:szCs w:val="18"/>
                <w:highlight w:val="none"/>
                <w:lang w:val="en-US" w:eastAsia="zh-CN"/>
              </w:rPr>
            </w:pPr>
            <w:r>
              <w:rPr>
                <w:rFonts w:hint="eastAsia" w:ascii="楷体" w:hAnsi="楷体" w:eastAsia="楷体" w:cs="楷体"/>
                <w:sz w:val="18"/>
                <w:szCs w:val="18"/>
                <w:highlight w:val="none"/>
                <w:lang w:val="en-US" w:eastAsia="zh-CN"/>
              </w:rPr>
              <w:t>山西省农科院</w:t>
            </w:r>
          </w:p>
        </w:tc>
        <w:tc>
          <w:tcPr>
            <w:tcW w:w="1244" w:type="dxa"/>
            <w:noWrap w:val="0"/>
            <w:vAlign w:val="center"/>
          </w:tcPr>
          <w:p w14:paraId="641B30A6">
            <w:pPr>
              <w:spacing w:line="300" w:lineRule="exact"/>
              <w:ind w:left="-107" w:leftChars="-51" w:firstLine="68" w:firstLineChars="38"/>
              <w:jc w:val="center"/>
              <w:rPr>
                <w:rFonts w:hint="default" w:ascii="Times New Roman" w:hAnsi="Times New Roman" w:eastAsia="宋体" w:cs="Times New Roman"/>
                <w:sz w:val="21"/>
                <w:szCs w:val="21"/>
                <w:highlight w:val="none"/>
                <w:lang w:eastAsia="zh-CN"/>
              </w:rPr>
            </w:pPr>
            <w:r>
              <w:rPr>
                <w:rFonts w:hint="eastAsia" w:ascii="楷体" w:hAnsi="楷体" w:eastAsia="楷体" w:cs="楷体"/>
                <w:sz w:val="18"/>
                <w:szCs w:val="18"/>
                <w:highlight w:val="none"/>
              </w:rPr>
              <w:t>是</w:t>
            </w:r>
          </w:p>
        </w:tc>
        <w:tc>
          <w:tcPr>
            <w:tcW w:w="1891" w:type="dxa"/>
            <w:noWrap w:val="0"/>
            <w:vAlign w:val="center"/>
          </w:tcPr>
          <w:p w14:paraId="1C5C4B2D">
            <w:pPr>
              <w:spacing w:line="300" w:lineRule="exact"/>
              <w:jc w:val="left"/>
              <w:rPr>
                <w:rFonts w:hint="default" w:ascii="楷体" w:hAnsi="楷体" w:eastAsia="楷体" w:cs="楷体"/>
                <w:sz w:val="18"/>
                <w:szCs w:val="18"/>
                <w:highlight w:val="none"/>
              </w:rPr>
            </w:pPr>
            <w:r>
              <w:rPr>
                <w:rFonts w:hint="eastAsia" w:ascii="楷体" w:hAnsi="楷体" w:eastAsia="楷体" w:cs="楷体"/>
                <w:sz w:val="18"/>
                <w:szCs w:val="18"/>
                <w:highlight w:val="none"/>
              </w:rPr>
              <w:t>按照专家建议</w:t>
            </w:r>
            <w:r>
              <w:rPr>
                <w:rFonts w:hint="eastAsia" w:ascii="楷体" w:hAnsi="楷体" w:eastAsia="楷体" w:cs="楷体"/>
                <w:sz w:val="18"/>
                <w:szCs w:val="18"/>
                <w:highlight w:val="none"/>
                <w:lang w:val="en-US" w:eastAsia="zh-CN"/>
              </w:rPr>
              <w:t>补充标准内容</w:t>
            </w:r>
            <w:r>
              <w:rPr>
                <w:rFonts w:hint="eastAsia" w:ascii="楷体" w:hAnsi="楷体" w:eastAsia="楷体" w:cs="楷体"/>
                <w:sz w:val="18"/>
                <w:szCs w:val="18"/>
                <w:highlight w:val="none"/>
              </w:rPr>
              <w:t>。</w:t>
            </w:r>
          </w:p>
        </w:tc>
      </w:tr>
    </w:tbl>
    <w:p w14:paraId="2D30E123">
      <w:pPr>
        <w:autoSpaceDE w:val="0"/>
        <w:autoSpaceDN w:val="0"/>
        <w:adjustRightInd w:val="0"/>
        <w:ind w:firstLine="560" w:firstLineChars="200"/>
        <w:jc w:val="left"/>
        <w:rPr>
          <w:sz w:val="28"/>
          <w:szCs w:val="28"/>
        </w:rPr>
      </w:pPr>
    </w:p>
    <w:p w14:paraId="7E3E781E">
      <w:pPr>
        <w:ind w:firstLine="480" w:firstLineChars="200"/>
        <w:rPr>
          <w:rFonts w:hint="eastAsia" w:ascii="仿宋" w:hAnsi="仿宋" w:eastAsia="仿宋"/>
          <w:b/>
          <w:bCs/>
          <w:sz w:val="32"/>
          <w:szCs w:val="32"/>
        </w:rPr>
      </w:pPr>
      <w:r>
        <w:rPr>
          <w:rFonts w:hint="eastAsia" w:eastAsia="仿宋_GB2312"/>
          <w:bCs/>
          <w:sz w:val="24"/>
        </w:rPr>
        <w:t>5、技术评审</w:t>
      </w:r>
    </w:p>
    <w:p w14:paraId="142C0BAD">
      <w:pPr>
        <w:autoSpaceDE w:val="0"/>
        <w:autoSpaceDN w:val="0"/>
        <w:adjustRightInd w:val="0"/>
        <w:ind w:firstLine="560" w:firstLineChars="200"/>
        <w:jc w:val="left"/>
        <w:rPr>
          <w:sz w:val="28"/>
          <w:szCs w:val="28"/>
        </w:rPr>
      </w:pPr>
      <w:r>
        <w:rPr>
          <w:sz w:val="28"/>
          <w:szCs w:val="28"/>
        </w:rPr>
        <w:t>202</w:t>
      </w:r>
      <w:r>
        <w:rPr>
          <w:rFonts w:hint="eastAsia"/>
          <w:sz w:val="28"/>
          <w:szCs w:val="28"/>
        </w:rPr>
        <w:t>4</w:t>
      </w:r>
      <w:r>
        <w:rPr>
          <w:rFonts w:hint="eastAsia" w:cs="宋体"/>
          <w:sz w:val="28"/>
          <w:szCs w:val="28"/>
        </w:rPr>
        <w:t>年</w:t>
      </w:r>
      <w:r>
        <w:rPr>
          <w:rFonts w:hint="eastAsia"/>
          <w:sz w:val="28"/>
          <w:szCs w:val="28"/>
        </w:rPr>
        <w:t>10</w:t>
      </w:r>
      <w:r>
        <w:rPr>
          <w:rFonts w:hint="eastAsia" w:cs="宋体"/>
          <w:sz w:val="28"/>
          <w:szCs w:val="28"/>
        </w:rPr>
        <w:t>月</w:t>
      </w:r>
      <w:r>
        <w:rPr>
          <w:rFonts w:hint="eastAsia" w:cs="宋体"/>
          <w:sz w:val="28"/>
          <w:szCs w:val="28"/>
          <w:lang w:val="en-US" w:eastAsia="zh-CN"/>
        </w:rPr>
        <w:t>17日</w:t>
      </w:r>
      <w:r>
        <w:rPr>
          <w:rFonts w:hint="eastAsia" w:cs="宋体"/>
          <w:sz w:val="28"/>
          <w:szCs w:val="28"/>
        </w:rPr>
        <w:t>，</w:t>
      </w:r>
      <w:r>
        <w:rPr>
          <w:sz w:val="28"/>
          <w:szCs w:val="28"/>
        </w:rPr>
        <w:t>山西省质量监督</w:t>
      </w:r>
      <w:r>
        <w:rPr>
          <w:rFonts w:hint="eastAsia"/>
          <w:sz w:val="28"/>
          <w:szCs w:val="28"/>
          <w:lang w:val="en-US" w:eastAsia="zh-CN"/>
        </w:rPr>
        <w:t>管理</w:t>
      </w:r>
      <w:r>
        <w:rPr>
          <w:sz w:val="28"/>
          <w:szCs w:val="28"/>
        </w:rPr>
        <w:t>局组织有关专家对本标准和编制说明</w:t>
      </w:r>
      <w:r>
        <w:rPr>
          <w:rFonts w:hint="eastAsia"/>
          <w:sz w:val="28"/>
          <w:szCs w:val="28"/>
        </w:rPr>
        <w:t>修订</w:t>
      </w:r>
      <w:r>
        <w:rPr>
          <w:sz w:val="28"/>
          <w:szCs w:val="28"/>
        </w:rPr>
        <w:t>稿进行第一次审查，主要针对标准内容和格式上的问题提出了相应的修改意见与建议。随后，标准负责人组织</w:t>
      </w:r>
      <w:r>
        <w:rPr>
          <w:rFonts w:hint="eastAsia"/>
          <w:sz w:val="28"/>
          <w:szCs w:val="28"/>
        </w:rPr>
        <w:t>修订</w:t>
      </w:r>
      <w:r>
        <w:rPr>
          <w:sz w:val="28"/>
          <w:szCs w:val="28"/>
        </w:rPr>
        <w:t>小组成员召开会议，就专家们提出的意见进行逐一修改，进而完善并形成本规程的</w:t>
      </w:r>
      <w:r>
        <w:rPr>
          <w:rFonts w:hint="eastAsia"/>
          <w:sz w:val="28"/>
          <w:szCs w:val="28"/>
          <w:lang w:val="en-US" w:eastAsia="zh-CN"/>
        </w:rPr>
        <w:t>征求意见</w:t>
      </w:r>
      <w:r>
        <w:rPr>
          <w:sz w:val="28"/>
          <w:szCs w:val="28"/>
        </w:rPr>
        <w:t>稿。</w:t>
      </w:r>
    </w:p>
    <w:p w14:paraId="2B7DAB5C">
      <w:pPr>
        <w:spacing w:before="156" w:beforeLines="50" w:after="156" w:afterLines="50"/>
        <w:rPr>
          <w:rFonts w:eastAsia="黑体"/>
          <w:b/>
          <w:sz w:val="32"/>
          <w:szCs w:val="32"/>
        </w:rPr>
      </w:pPr>
      <w:r>
        <w:rPr>
          <w:rFonts w:hint="eastAsia" w:ascii="黑体" w:eastAsia="黑体"/>
          <w:sz w:val="24"/>
        </w:rPr>
        <w:t>四</w:t>
      </w:r>
      <w:r>
        <w:rPr>
          <w:rFonts w:ascii="黑体" w:eastAsia="黑体"/>
          <w:sz w:val="24"/>
        </w:rPr>
        <w:t>、</w:t>
      </w:r>
      <w:r>
        <w:rPr>
          <w:rFonts w:hint="eastAsia" w:ascii="黑体" w:eastAsia="黑体"/>
          <w:sz w:val="24"/>
        </w:rPr>
        <w:t>制订标准</w:t>
      </w:r>
      <w:r>
        <w:rPr>
          <w:rFonts w:ascii="黑体" w:eastAsia="黑体"/>
          <w:sz w:val="24"/>
        </w:rPr>
        <w:t>的原则和</w:t>
      </w:r>
      <w:r>
        <w:rPr>
          <w:rFonts w:hint="eastAsia" w:ascii="黑体" w:eastAsia="黑体"/>
          <w:sz w:val="24"/>
        </w:rPr>
        <w:t>依据，与现行法律、法规、标准的关系</w:t>
      </w:r>
      <w:r>
        <w:rPr>
          <w:rFonts w:ascii="黑体" w:eastAsia="黑体"/>
          <w:sz w:val="24"/>
        </w:rPr>
        <w:t xml:space="preserve"> </w:t>
      </w:r>
    </w:p>
    <w:p w14:paraId="278FCB3A">
      <w:pPr>
        <w:autoSpaceDE w:val="0"/>
        <w:autoSpaceDN w:val="0"/>
        <w:adjustRightInd w:val="0"/>
        <w:ind w:firstLine="240" w:firstLineChars="100"/>
        <w:jc w:val="left"/>
        <w:rPr>
          <w:rFonts w:eastAsia="仿宋_GB2312"/>
          <w:bCs/>
          <w:sz w:val="24"/>
        </w:rPr>
      </w:pPr>
      <w:r>
        <w:rPr>
          <w:rFonts w:hint="eastAsia" w:eastAsia="仿宋_GB2312"/>
          <w:bCs/>
          <w:sz w:val="24"/>
        </w:rPr>
        <w:t>1</w:t>
      </w:r>
      <w:r>
        <w:rPr>
          <w:rFonts w:eastAsia="仿宋_GB2312"/>
          <w:bCs/>
          <w:sz w:val="24"/>
        </w:rPr>
        <w:t>.</w:t>
      </w:r>
      <w:r>
        <w:rPr>
          <w:rFonts w:hint="eastAsia" w:eastAsia="仿宋_GB2312"/>
          <w:bCs/>
          <w:sz w:val="24"/>
        </w:rPr>
        <w:t xml:space="preserve"> 制订标准</w:t>
      </w:r>
      <w:r>
        <w:rPr>
          <w:rFonts w:eastAsia="仿宋_GB2312"/>
          <w:bCs/>
          <w:sz w:val="24"/>
        </w:rPr>
        <w:t>的原则和</w:t>
      </w:r>
      <w:r>
        <w:rPr>
          <w:rFonts w:hint="eastAsia" w:eastAsia="仿宋_GB2312"/>
          <w:bCs/>
          <w:sz w:val="24"/>
        </w:rPr>
        <w:t>依据</w:t>
      </w:r>
    </w:p>
    <w:p w14:paraId="6576A67E">
      <w:pPr>
        <w:autoSpaceDE w:val="0"/>
        <w:autoSpaceDN w:val="0"/>
        <w:adjustRightInd w:val="0"/>
        <w:ind w:firstLine="560" w:firstLineChars="200"/>
        <w:jc w:val="left"/>
        <w:rPr>
          <w:sz w:val="28"/>
          <w:szCs w:val="28"/>
        </w:rPr>
      </w:pPr>
      <w:r>
        <w:rPr>
          <w:sz w:val="28"/>
          <w:szCs w:val="28"/>
        </w:rPr>
        <w:t>本规范以</w:t>
      </w:r>
      <w:r>
        <w:rPr>
          <w:rFonts w:hint="eastAsia" w:hAnsi="宋体"/>
          <w:sz w:val="28"/>
          <w:szCs w:val="28"/>
        </w:rPr>
        <w:t>露地甜瓜栽培技术</w:t>
      </w:r>
      <w:r>
        <w:rPr>
          <w:sz w:val="28"/>
          <w:szCs w:val="28"/>
        </w:rPr>
        <w:t>为研究内容，规定了</w:t>
      </w:r>
      <w:r>
        <w:rPr>
          <w:rFonts w:hint="eastAsia" w:hAnsi="宋体"/>
          <w:sz w:val="28"/>
          <w:szCs w:val="28"/>
        </w:rPr>
        <w:t>甜瓜旱作栽培的产地环境、定植前准备、定植、田间管理、病虫害防治、采收及生产档案等主要的技术环节</w:t>
      </w:r>
      <w:r>
        <w:rPr>
          <w:sz w:val="28"/>
          <w:szCs w:val="28"/>
        </w:rPr>
        <w:t>。在规范具体指标编制过程中，坚持从山西省生产实际出发，坚持科学性、实用性和可操作性的原则，力求轻简化，并符合当前设施蔬菜绿色生产的要求。</w:t>
      </w:r>
    </w:p>
    <w:p w14:paraId="2C298A23">
      <w:pPr>
        <w:autoSpaceDE w:val="0"/>
        <w:autoSpaceDN w:val="0"/>
        <w:adjustRightInd w:val="0"/>
        <w:ind w:firstLine="560" w:firstLineChars="200"/>
        <w:jc w:val="left"/>
        <w:rPr>
          <w:sz w:val="28"/>
          <w:szCs w:val="28"/>
        </w:rPr>
      </w:pPr>
      <w:r>
        <w:rPr>
          <w:sz w:val="28"/>
          <w:szCs w:val="28"/>
        </w:rPr>
        <w:t>（1）</w:t>
      </w:r>
      <w:r>
        <w:rPr>
          <w:rFonts w:hint="eastAsia"/>
          <w:sz w:val="28"/>
          <w:szCs w:val="28"/>
        </w:rPr>
        <w:t>先进</w:t>
      </w:r>
      <w:r>
        <w:rPr>
          <w:sz w:val="28"/>
          <w:szCs w:val="28"/>
        </w:rPr>
        <w:t>性：本规范相关内容是项目组成员多年来各类科研项目以及调查研究的部分内容，是通过研究、调查、试验形成的相关内容，并经过多年的试验验证和反复修正，最终形成的本规范，技术参数可靠。</w:t>
      </w:r>
    </w:p>
    <w:p w14:paraId="3950CC91">
      <w:pPr>
        <w:autoSpaceDE w:val="0"/>
        <w:autoSpaceDN w:val="0"/>
        <w:adjustRightInd w:val="0"/>
        <w:ind w:firstLine="560" w:firstLineChars="200"/>
        <w:jc w:val="left"/>
        <w:rPr>
          <w:sz w:val="28"/>
          <w:szCs w:val="28"/>
        </w:rPr>
      </w:pPr>
      <w:r>
        <w:rPr>
          <w:sz w:val="28"/>
          <w:szCs w:val="28"/>
        </w:rPr>
        <w:t>（2）</w:t>
      </w:r>
      <w:r>
        <w:rPr>
          <w:rFonts w:hint="eastAsia"/>
          <w:sz w:val="28"/>
          <w:szCs w:val="28"/>
        </w:rPr>
        <w:t>适应</w:t>
      </w:r>
      <w:r>
        <w:rPr>
          <w:sz w:val="28"/>
          <w:szCs w:val="28"/>
        </w:rPr>
        <w:t>性：本规范结合了山西省境内不同纬度地区、不同季节不同天气条件下的</w:t>
      </w:r>
      <w:r>
        <w:rPr>
          <w:rFonts w:hint="eastAsia" w:hAnsi="宋体"/>
          <w:sz w:val="28"/>
          <w:szCs w:val="28"/>
        </w:rPr>
        <w:t>甜瓜旱作栽培</w:t>
      </w:r>
      <w:r>
        <w:rPr>
          <w:sz w:val="28"/>
          <w:szCs w:val="28"/>
        </w:rPr>
        <w:t>生产技术，具有较强的实用性。</w:t>
      </w:r>
    </w:p>
    <w:p w14:paraId="265FE370">
      <w:pPr>
        <w:autoSpaceDE w:val="0"/>
        <w:autoSpaceDN w:val="0"/>
        <w:adjustRightInd w:val="0"/>
        <w:ind w:firstLine="560" w:firstLineChars="200"/>
        <w:jc w:val="left"/>
        <w:rPr>
          <w:sz w:val="28"/>
          <w:szCs w:val="28"/>
        </w:rPr>
      </w:pPr>
      <w:r>
        <w:rPr>
          <w:sz w:val="28"/>
          <w:szCs w:val="28"/>
        </w:rPr>
        <w:t>（3）</w:t>
      </w:r>
      <w:r>
        <w:rPr>
          <w:rFonts w:hint="eastAsia"/>
          <w:sz w:val="28"/>
          <w:szCs w:val="28"/>
        </w:rPr>
        <w:t>安全</w:t>
      </w:r>
      <w:r>
        <w:rPr>
          <w:sz w:val="28"/>
          <w:szCs w:val="28"/>
        </w:rPr>
        <w:t>性：本规范在制定过程中，结合生产实践，进行了系统性和规范性的总结，并注重细节和可操作性，力求达到广大使用者看得见、用得上，</w:t>
      </w:r>
      <w:r>
        <w:rPr>
          <w:rFonts w:hint="eastAsia"/>
          <w:sz w:val="28"/>
          <w:szCs w:val="28"/>
        </w:rPr>
        <w:t>安全可靠</w:t>
      </w:r>
      <w:r>
        <w:rPr>
          <w:sz w:val="28"/>
          <w:szCs w:val="28"/>
        </w:rPr>
        <w:t>。</w:t>
      </w:r>
    </w:p>
    <w:p w14:paraId="1FB4F83B">
      <w:pPr>
        <w:autoSpaceDE w:val="0"/>
        <w:autoSpaceDN w:val="0"/>
        <w:adjustRightInd w:val="0"/>
        <w:ind w:firstLine="240" w:firstLineChars="100"/>
        <w:jc w:val="left"/>
        <w:rPr>
          <w:rFonts w:hint="eastAsia" w:hAnsi="宋体"/>
          <w:sz w:val="28"/>
          <w:szCs w:val="28"/>
        </w:rPr>
      </w:pPr>
      <w:r>
        <w:rPr>
          <w:rFonts w:hint="eastAsia" w:eastAsia="仿宋_GB2312"/>
          <w:bCs/>
          <w:sz w:val="24"/>
        </w:rPr>
        <w:t>2</w:t>
      </w:r>
      <w:r>
        <w:rPr>
          <w:rFonts w:eastAsia="仿宋_GB2312"/>
          <w:bCs/>
          <w:sz w:val="24"/>
        </w:rPr>
        <w:t>.</w:t>
      </w:r>
      <w:r>
        <w:rPr>
          <w:rFonts w:hint="eastAsia" w:eastAsia="仿宋_GB2312"/>
          <w:bCs/>
          <w:sz w:val="24"/>
        </w:rPr>
        <w:t>与现行法律、法规、标准的关系</w:t>
      </w:r>
    </w:p>
    <w:p w14:paraId="3F947D61">
      <w:pPr>
        <w:autoSpaceDE w:val="0"/>
        <w:autoSpaceDN w:val="0"/>
        <w:adjustRightInd w:val="0"/>
        <w:ind w:firstLine="560" w:firstLineChars="200"/>
        <w:jc w:val="left"/>
        <w:rPr>
          <w:sz w:val="28"/>
          <w:szCs w:val="28"/>
        </w:rPr>
      </w:pPr>
      <w:r>
        <w:rPr>
          <w:rFonts w:hint="eastAsia"/>
          <w:sz w:val="28"/>
          <w:szCs w:val="28"/>
        </w:rPr>
        <w:t>本标准从山西省</w:t>
      </w:r>
      <w:r>
        <w:rPr>
          <w:rFonts w:hint="eastAsia" w:hAnsi="宋体"/>
          <w:sz w:val="28"/>
          <w:szCs w:val="28"/>
        </w:rPr>
        <w:t>甜瓜旱作栽培</w:t>
      </w:r>
      <w:r>
        <w:rPr>
          <w:rFonts w:hint="eastAsia"/>
          <w:sz w:val="28"/>
          <w:szCs w:val="28"/>
        </w:rPr>
        <w:t>生产实际要求出发，参考相关的国家或行业标准和规范，结合山西省当地实际情况进行制定，符合现行法律、法规和强制性标准的相关条款。</w:t>
      </w:r>
    </w:p>
    <w:p w14:paraId="348FEC1C">
      <w:pPr>
        <w:ind w:firstLine="560" w:firstLineChars="200"/>
        <w:rPr>
          <w:sz w:val="28"/>
          <w:szCs w:val="28"/>
        </w:rPr>
      </w:pPr>
      <w:r>
        <w:rPr>
          <w:rFonts w:hint="eastAsia"/>
          <w:sz w:val="28"/>
          <w:szCs w:val="28"/>
        </w:rPr>
        <w:t>本标准的制定严格遵循现行的法律、法规和国家标准、行业标准，符合我国《农业技术推广法》等的有关规定，严格遵循国家标准和行业标准中</w:t>
      </w:r>
      <w:r>
        <w:rPr>
          <w:rFonts w:hint="eastAsia" w:hAnsi="宋体"/>
          <w:sz w:val="28"/>
          <w:szCs w:val="28"/>
        </w:rPr>
        <w:t>甜瓜旱作栽培</w:t>
      </w:r>
      <w:r>
        <w:rPr>
          <w:rFonts w:hint="eastAsia"/>
          <w:sz w:val="28"/>
          <w:szCs w:val="28"/>
        </w:rPr>
        <w:t>方面的规定与要求，同时也借鉴了部分国家标准、行业标准和山西省地方标准相关内容（表</w:t>
      </w:r>
      <w:r>
        <w:rPr>
          <w:rFonts w:hint="eastAsia"/>
          <w:sz w:val="28"/>
          <w:szCs w:val="28"/>
          <w:lang w:val="en-US" w:eastAsia="zh-CN"/>
        </w:rPr>
        <w:t>2</w:t>
      </w:r>
      <w:r>
        <w:rPr>
          <w:rFonts w:hint="eastAsia"/>
          <w:sz w:val="28"/>
          <w:szCs w:val="28"/>
        </w:rPr>
        <w:t>）。</w:t>
      </w:r>
    </w:p>
    <w:p w14:paraId="7B93DE6F">
      <w:pPr>
        <w:ind w:firstLine="560" w:firstLineChars="200"/>
        <w:rPr>
          <w:rFonts w:hint="eastAsia"/>
          <w:sz w:val="28"/>
          <w:szCs w:val="28"/>
        </w:rPr>
      </w:pPr>
      <w:r>
        <w:rPr>
          <w:rFonts w:hint="eastAsia"/>
          <w:sz w:val="28"/>
          <w:szCs w:val="28"/>
        </w:rPr>
        <w:t>本规程立足山西省实际，明确了</w:t>
      </w:r>
      <w:r>
        <w:rPr>
          <w:rFonts w:hint="eastAsia" w:hAnsi="宋体"/>
          <w:sz w:val="28"/>
          <w:szCs w:val="28"/>
        </w:rPr>
        <w:t>甜瓜旱作栽培</w:t>
      </w:r>
      <w:r>
        <w:rPr>
          <w:rFonts w:hint="eastAsia"/>
          <w:sz w:val="28"/>
          <w:szCs w:val="28"/>
        </w:rPr>
        <w:t>中的配套栽培措施，具有可操作性，简单易行。</w:t>
      </w:r>
    </w:p>
    <w:p w14:paraId="42D0C91F">
      <w:pPr>
        <w:ind w:firstLine="560" w:firstLineChars="200"/>
        <w:rPr>
          <w:rFonts w:hint="eastAsia"/>
          <w:sz w:val="28"/>
          <w:szCs w:val="28"/>
        </w:rPr>
      </w:pPr>
    </w:p>
    <w:p w14:paraId="79D80E74">
      <w:pPr>
        <w:ind w:firstLine="560" w:firstLineChars="200"/>
        <w:rPr>
          <w:rFonts w:hint="eastAsia"/>
          <w:sz w:val="28"/>
          <w:szCs w:val="28"/>
        </w:rPr>
      </w:pPr>
    </w:p>
    <w:p w14:paraId="5D1509F2">
      <w:pPr>
        <w:autoSpaceDE w:val="0"/>
        <w:autoSpaceDN w:val="0"/>
        <w:adjustRightInd w:val="0"/>
        <w:spacing w:before="156" w:beforeLines="50" w:after="156" w:afterLines="50"/>
        <w:ind w:firstLine="422" w:firstLineChars="200"/>
        <w:jc w:val="center"/>
        <w:rPr>
          <w:b/>
          <w:bCs/>
        </w:rPr>
      </w:pPr>
      <w:r>
        <w:rPr>
          <w:rFonts w:hint="eastAsia" w:cs="宋体"/>
          <w:b/>
          <w:bCs/>
        </w:rPr>
        <w:t>表</w:t>
      </w:r>
      <w:r>
        <w:rPr>
          <w:rFonts w:hint="eastAsia" w:cs="宋体"/>
          <w:b/>
          <w:bCs/>
          <w:lang w:val="en-US" w:eastAsia="zh-CN"/>
        </w:rPr>
        <w:t>2</w:t>
      </w:r>
      <w:r>
        <w:rPr>
          <w:rFonts w:cs="宋体"/>
          <w:b/>
          <w:bCs/>
        </w:rPr>
        <w:t xml:space="preserve">  </w:t>
      </w:r>
      <w:r>
        <w:rPr>
          <w:rFonts w:hint="eastAsia" w:cs="宋体"/>
          <w:b/>
          <w:bCs/>
        </w:rPr>
        <w:t>相关参考标准</w:t>
      </w:r>
      <w:r>
        <w:rPr>
          <w:rFonts w:cs="宋体"/>
          <w:b/>
          <w:bCs/>
        </w:rPr>
        <w:t xml:space="preserve">   </w:t>
      </w:r>
    </w:p>
    <w:tbl>
      <w:tblPr>
        <w:tblStyle w:val="9"/>
        <w:tblW w:w="5376" w:type="pct"/>
        <w:tblInd w:w="-108"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222"/>
        <w:gridCol w:w="5092"/>
      </w:tblGrid>
      <w:tr w14:paraId="7E113918">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463" w:type="pct"/>
            <w:tcBorders>
              <w:top w:val="single" w:color="auto" w:sz="8" w:space="0"/>
              <w:bottom w:val="single" w:color="auto" w:sz="8" w:space="0"/>
            </w:tcBorders>
            <w:vAlign w:val="center"/>
          </w:tcPr>
          <w:p w14:paraId="4E2B4BA2">
            <w:pPr>
              <w:spacing w:before="156" w:beforeLines="50" w:line="480" w:lineRule="auto"/>
              <w:jc w:val="center"/>
              <w:rPr>
                <w:b/>
                <w:bCs/>
                <w:color w:val="000000"/>
                <w:kern w:val="0"/>
              </w:rPr>
            </w:pPr>
            <w:r>
              <w:rPr>
                <w:rFonts w:hint="eastAsia" w:cs="宋体"/>
                <w:b/>
                <w:bCs/>
                <w:color w:val="000000"/>
                <w:kern w:val="0"/>
              </w:rPr>
              <w:t>编号</w:t>
            </w:r>
          </w:p>
        </w:tc>
        <w:tc>
          <w:tcPr>
            <w:tcW w:w="1758" w:type="pct"/>
            <w:tcBorders>
              <w:top w:val="single" w:color="auto" w:sz="8" w:space="0"/>
              <w:bottom w:val="single" w:color="auto" w:sz="8" w:space="0"/>
            </w:tcBorders>
            <w:vAlign w:val="center"/>
          </w:tcPr>
          <w:p w14:paraId="4FC87081">
            <w:pPr>
              <w:spacing w:before="156" w:beforeLines="50" w:line="480" w:lineRule="auto"/>
              <w:jc w:val="center"/>
              <w:rPr>
                <w:b/>
                <w:bCs/>
                <w:color w:val="000000"/>
                <w:kern w:val="0"/>
              </w:rPr>
            </w:pPr>
            <w:r>
              <w:rPr>
                <w:rFonts w:hint="eastAsia" w:cs="宋体"/>
                <w:b/>
                <w:bCs/>
                <w:color w:val="000000"/>
                <w:kern w:val="0"/>
              </w:rPr>
              <w:t>标准号</w:t>
            </w:r>
          </w:p>
        </w:tc>
        <w:tc>
          <w:tcPr>
            <w:tcW w:w="2778" w:type="pct"/>
            <w:tcBorders>
              <w:top w:val="single" w:color="auto" w:sz="8" w:space="0"/>
              <w:bottom w:val="single" w:color="auto" w:sz="8" w:space="0"/>
            </w:tcBorders>
            <w:vAlign w:val="center"/>
          </w:tcPr>
          <w:p w14:paraId="53FE10BB">
            <w:pPr>
              <w:spacing w:before="156" w:beforeLines="50" w:line="480" w:lineRule="auto"/>
              <w:jc w:val="center"/>
              <w:rPr>
                <w:b/>
                <w:bCs/>
                <w:color w:val="000000"/>
                <w:kern w:val="0"/>
              </w:rPr>
            </w:pPr>
            <w:r>
              <w:rPr>
                <w:rFonts w:hint="eastAsia" w:cs="宋体"/>
                <w:b/>
                <w:bCs/>
                <w:color w:val="000000"/>
                <w:kern w:val="0"/>
              </w:rPr>
              <w:t>标准名称</w:t>
            </w:r>
          </w:p>
        </w:tc>
      </w:tr>
      <w:tr w14:paraId="3F8D1F7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3" w:type="pct"/>
            <w:vAlign w:val="center"/>
          </w:tcPr>
          <w:p w14:paraId="10BD9D35">
            <w:pPr>
              <w:spacing w:line="480" w:lineRule="auto"/>
              <w:jc w:val="center"/>
              <w:rPr>
                <w:color w:val="000000"/>
                <w:kern w:val="0"/>
              </w:rPr>
            </w:pPr>
            <w:r>
              <w:rPr>
                <w:color w:val="000000"/>
                <w:kern w:val="0"/>
              </w:rPr>
              <w:t>1</w:t>
            </w:r>
          </w:p>
        </w:tc>
        <w:tc>
          <w:tcPr>
            <w:tcW w:w="1758" w:type="pct"/>
            <w:vAlign w:val="center"/>
          </w:tcPr>
          <w:p w14:paraId="5E83A6CE">
            <w:pPr>
              <w:jc w:val="center"/>
              <w:rPr>
                <w:rFonts w:cs="宋体"/>
              </w:rPr>
            </w:pPr>
            <w:r>
              <w:rPr>
                <w:rFonts w:hint="eastAsia" w:cs="宋体"/>
              </w:rPr>
              <w:t>GB 15618</w:t>
            </w:r>
          </w:p>
        </w:tc>
        <w:tc>
          <w:tcPr>
            <w:tcW w:w="2778" w:type="pct"/>
            <w:vAlign w:val="center"/>
          </w:tcPr>
          <w:p w14:paraId="05ACE682">
            <w:pPr>
              <w:jc w:val="center"/>
              <w:rPr>
                <w:rFonts w:cs="宋体"/>
              </w:rPr>
            </w:pPr>
            <w:r>
              <w:rPr>
                <w:rFonts w:hint="eastAsia"/>
              </w:rPr>
              <w:t>土壤环境质量 农用地土壤污染风险管控标准（试行）</w:t>
            </w:r>
          </w:p>
        </w:tc>
      </w:tr>
      <w:tr w14:paraId="5A3E93A0">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exact"/>
        </w:trPr>
        <w:tc>
          <w:tcPr>
            <w:tcW w:w="463" w:type="pct"/>
            <w:vAlign w:val="center"/>
          </w:tcPr>
          <w:p w14:paraId="28EFCF5A">
            <w:pPr>
              <w:spacing w:line="480" w:lineRule="auto"/>
              <w:jc w:val="center"/>
              <w:rPr>
                <w:color w:val="000000"/>
                <w:kern w:val="0"/>
              </w:rPr>
            </w:pPr>
            <w:r>
              <w:rPr>
                <w:rFonts w:hint="eastAsia"/>
                <w:color w:val="000000"/>
                <w:kern w:val="0"/>
              </w:rPr>
              <w:t>2</w:t>
            </w:r>
          </w:p>
        </w:tc>
        <w:tc>
          <w:tcPr>
            <w:tcW w:w="1758" w:type="pct"/>
            <w:vAlign w:val="center"/>
          </w:tcPr>
          <w:p w14:paraId="7BC361A1">
            <w:pPr>
              <w:jc w:val="center"/>
              <w:rPr>
                <w:rFonts w:cs="宋体"/>
              </w:rPr>
            </w:pPr>
            <w:r>
              <w:rPr>
                <w:rFonts w:hint="eastAsia" w:cs="宋体"/>
              </w:rPr>
              <w:t>GB 16715.1</w:t>
            </w:r>
          </w:p>
        </w:tc>
        <w:tc>
          <w:tcPr>
            <w:tcW w:w="2778" w:type="pct"/>
            <w:vAlign w:val="center"/>
          </w:tcPr>
          <w:p w14:paraId="0FF5F61D">
            <w:pPr>
              <w:jc w:val="center"/>
              <w:rPr>
                <w:rFonts w:cs="宋体"/>
              </w:rPr>
            </w:pPr>
            <w:r>
              <w:rPr>
                <w:rFonts w:hint="eastAsia"/>
              </w:rPr>
              <w:t xml:space="preserve">瓜菜作物种子 </w:t>
            </w:r>
            <w:r>
              <w:rPr>
                <w:rFonts w:hint="eastAsia"/>
                <w:szCs w:val="22"/>
              </w:rPr>
              <w:t>第1部分：</w:t>
            </w:r>
            <w:r>
              <w:rPr>
                <w:rFonts w:hint="eastAsia"/>
              </w:rPr>
              <w:t>瓜类</w:t>
            </w:r>
          </w:p>
        </w:tc>
      </w:tr>
      <w:tr w14:paraId="00D305C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 w:type="pct"/>
            <w:vAlign w:val="center"/>
          </w:tcPr>
          <w:p w14:paraId="0E395F64">
            <w:pPr>
              <w:spacing w:line="480" w:lineRule="auto"/>
              <w:jc w:val="center"/>
              <w:rPr>
                <w:color w:val="000000"/>
                <w:kern w:val="0"/>
              </w:rPr>
            </w:pPr>
            <w:r>
              <w:rPr>
                <w:color w:val="000000"/>
                <w:kern w:val="0"/>
              </w:rPr>
              <w:t>3</w:t>
            </w:r>
          </w:p>
        </w:tc>
        <w:tc>
          <w:tcPr>
            <w:tcW w:w="1758" w:type="pct"/>
            <w:vAlign w:val="center"/>
          </w:tcPr>
          <w:p w14:paraId="0A3129D9">
            <w:pPr>
              <w:jc w:val="center"/>
              <w:rPr>
                <w:rFonts w:cs="宋体"/>
              </w:rPr>
            </w:pPr>
            <w:r>
              <w:rPr>
                <w:rFonts w:hint="eastAsia" w:cs="宋体"/>
              </w:rPr>
              <w:t>GB/T 8321</w:t>
            </w:r>
          </w:p>
        </w:tc>
        <w:tc>
          <w:tcPr>
            <w:tcW w:w="2778" w:type="pct"/>
            <w:vAlign w:val="center"/>
          </w:tcPr>
          <w:p w14:paraId="7AB88424">
            <w:pPr>
              <w:jc w:val="center"/>
              <w:rPr>
                <w:rFonts w:cs="宋体"/>
              </w:rPr>
            </w:pPr>
            <w:r>
              <w:rPr>
                <w:rFonts w:hint="eastAsia" w:cs="宋体"/>
              </w:rPr>
              <w:t>农药合理使用准则</w:t>
            </w:r>
          </w:p>
        </w:tc>
      </w:tr>
      <w:tr w14:paraId="470C0E2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463" w:type="pct"/>
            <w:vAlign w:val="center"/>
          </w:tcPr>
          <w:p w14:paraId="3CE9B700">
            <w:pPr>
              <w:spacing w:line="480" w:lineRule="auto"/>
              <w:jc w:val="center"/>
              <w:rPr>
                <w:color w:val="000000"/>
                <w:kern w:val="0"/>
              </w:rPr>
            </w:pPr>
            <w:r>
              <w:rPr>
                <w:color w:val="000000"/>
                <w:kern w:val="0"/>
              </w:rPr>
              <w:t>4</w:t>
            </w:r>
          </w:p>
        </w:tc>
        <w:tc>
          <w:tcPr>
            <w:tcW w:w="1758" w:type="pct"/>
            <w:vAlign w:val="center"/>
          </w:tcPr>
          <w:p w14:paraId="3B313BB9">
            <w:pPr>
              <w:jc w:val="center"/>
              <w:rPr>
                <w:rFonts w:cs="宋体"/>
              </w:rPr>
            </w:pPr>
            <w:r>
              <w:rPr>
                <w:rFonts w:hint="eastAsia" w:cs="宋体"/>
              </w:rPr>
              <w:t>GB/T 17187</w:t>
            </w:r>
          </w:p>
        </w:tc>
        <w:tc>
          <w:tcPr>
            <w:tcW w:w="2778" w:type="pct"/>
            <w:vAlign w:val="center"/>
          </w:tcPr>
          <w:p w14:paraId="2E8DDC07">
            <w:pPr>
              <w:jc w:val="center"/>
              <w:rPr>
                <w:rFonts w:cs="宋体"/>
              </w:rPr>
            </w:pPr>
            <w:r>
              <w:rPr>
                <w:rFonts w:hint="eastAsia" w:cs="宋体"/>
              </w:rPr>
              <w:t>农业灌溉设备 滴头和滴灌管 技术规范和试验方法</w:t>
            </w:r>
          </w:p>
        </w:tc>
      </w:tr>
      <w:tr w14:paraId="5AEABF1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63" w:type="pct"/>
            <w:vAlign w:val="center"/>
          </w:tcPr>
          <w:p w14:paraId="49EEBF75">
            <w:pPr>
              <w:spacing w:line="480" w:lineRule="auto"/>
              <w:jc w:val="center"/>
              <w:rPr>
                <w:color w:val="000000"/>
                <w:kern w:val="0"/>
              </w:rPr>
            </w:pPr>
            <w:r>
              <w:rPr>
                <w:rFonts w:hint="eastAsia"/>
                <w:color w:val="000000"/>
                <w:kern w:val="0"/>
              </w:rPr>
              <w:t>5</w:t>
            </w:r>
          </w:p>
        </w:tc>
        <w:tc>
          <w:tcPr>
            <w:tcW w:w="1758" w:type="pct"/>
            <w:vAlign w:val="center"/>
          </w:tcPr>
          <w:p w14:paraId="2E4EB582">
            <w:pPr>
              <w:jc w:val="center"/>
              <w:rPr>
                <w:rFonts w:cs="宋体"/>
              </w:rPr>
            </w:pPr>
            <w:r>
              <w:rPr>
                <w:rFonts w:hint="eastAsia" w:cs="宋体"/>
              </w:rPr>
              <w:t>GB/T 23416.3</w:t>
            </w:r>
          </w:p>
        </w:tc>
        <w:tc>
          <w:tcPr>
            <w:tcW w:w="2778" w:type="pct"/>
            <w:vAlign w:val="center"/>
          </w:tcPr>
          <w:p w14:paraId="3B708A56">
            <w:pPr>
              <w:jc w:val="center"/>
              <w:rPr>
                <w:rFonts w:cs="宋体"/>
              </w:rPr>
            </w:pPr>
            <w:r>
              <w:rPr>
                <w:rFonts w:hint="eastAsia" w:cs="宋体"/>
              </w:rPr>
              <w:t>蔬菜病虫害安全防治技术规范 第 3 部分：瓜类</w:t>
            </w:r>
          </w:p>
        </w:tc>
      </w:tr>
      <w:tr w14:paraId="6324352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463" w:type="pct"/>
            <w:vAlign w:val="center"/>
          </w:tcPr>
          <w:p w14:paraId="2084E4B4">
            <w:pPr>
              <w:spacing w:line="480" w:lineRule="auto"/>
              <w:jc w:val="center"/>
              <w:rPr>
                <w:color w:val="000000"/>
                <w:kern w:val="0"/>
              </w:rPr>
            </w:pPr>
            <w:r>
              <w:rPr>
                <w:rFonts w:hint="eastAsia"/>
                <w:color w:val="000000"/>
                <w:kern w:val="0"/>
              </w:rPr>
              <w:t>6</w:t>
            </w:r>
          </w:p>
        </w:tc>
        <w:tc>
          <w:tcPr>
            <w:tcW w:w="1758" w:type="pct"/>
            <w:vAlign w:val="center"/>
          </w:tcPr>
          <w:p w14:paraId="14D6E25F">
            <w:pPr>
              <w:jc w:val="center"/>
              <w:rPr>
                <w:rFonts w:cs="宋体"/>
              </w:rPr>
            </w:pPr>
            <w:r>
              <w:rPr>
                <w:rFonts w:hint="eastAsia" w:cs="宋体"/>
              </w:rPr>
              <w:t>NY/T 2119</w:t>
            </w:r>
          </w:p>
        </w:tc>
        <w:tc>
          <w:tcPr>
            <w:tcW w:w="2778" w:type="pct"/>
            <w:vAlign w:val="center"/>
          </w:tcPr>
          <w:p w14:paraId="4F3EF596">
            <w:pPr>
              <w:jc w:val="center"/>
              <w:rPr>
                <w:rFonts w:cs="宋体"/>
              </w:rPr>
            </w:pPr>
            <w:r>
              <w:rPr>
                <w:rFonts w:hint="eastAsia" w:cs="宋体"/>
              </w:rPr>
              <w:t>蔬菜穴盘育苗 通则</w:t>
            </w:r>
          </w:p>
        </w:tc>
      </w:tr>
      <w:tr w14:paraId="0AB2127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63" w:type="pct"/>
            <w:vAlign w:val="center"/>
          </w:tcPr>
          <w:p w14:paraId="0021E240">
            <w:pPr>
              <w:spacing w:line="480" w:lineRule="auto"/>
              <w:jc w:val="center"/>
              <w:rPr>
                <w:color w:val="000000"/>
                <w:kern w:val="0"/>
              </w:rPr>
            </w:pPr>
            <w:r>
              <w:rPr>
                <w:rFonts w:hint="eastAsia"/>
                <w:color w:val="000000"/>
                <w:kern w:val="0"/>
              </w:rPr>
              <w:t>7</w:t>
            </w:r>
          </w:p>
        </w:tc>
        <w:tc>
          <w:tcPr>
            <w:tcW w:w="1758" w:type="pct"/>
            <w:vAlign w:val="center"/>
          </w:tcPr>
          <w:p w14:paraId="50F9EC45">
            <w:pPr>
              <w:jc w:val="center"/>
              <w:rPr>
                <w:rFonts w:cs="宋体"/>
              </w:rPr>
            </w:pPr>
            <w:r>
              <w:rPr>
                <w:rFonts w:hint="eastAsia" w:cs="宋体"/>
              </w:rPr>
              <w:t>NY/T 2624</w:t>
            </w:r>
          </w:p>
        </w:tc>
        <w:tc>
          <w:tcPr>
            <w:tcW w:w="2778" w:type="pct"/>
            <w:vAlign w:val="center"/>
          </w:tcPr>
          <w:p w14:paraId="6F8D1268">
            <w:pPr>
              <w:jc w:val="center"/>
              <w:rPr>
                <w:rFonts w:cs="宋体"/>
              </w:rPr>
            </w:pPr>
            <w:r>
              <w:fldChar w:fldCharType="begin"/>
            </w:r>
            <w:r>
              <w:instrText xml:space="preserve"> HYPERLINK "https://std.samr.gov.cn/hb/search/stdHBDetailed?id=AF7D4A1CE6661558E05397BE0A0A9D1D" \t "https://std.samr.gov.cn/search/stdPage?q=NY/_blank" </w:instrText>
            </w:r>
            <w:r>
              <w:fldChar w:fldCharType="separate"/>
            </w:r>
            <w:r>
              <w:t>水肥一体化技术规范 总则</w:t>
            </w:r>
            <w:r>
              <w:fldChar w:fldCharType="end"/>
            </w:r>
          </w:p>
        </w:tc>
      </w:tr>
      <w:tr w14:paraId="4AF7B2D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63" w:type="pct"/>
            <w:vAlign w:val="center"/>
          </w:tcPr>
          <w:p w14:paraId="5A4D59C4">
            <w:pPr>
              <w:spacing w:line="480" w:lineRule="auto"/>
              <w:jc w:val="center"/>
              <w:rPr>
                <w:color w:val="000000"/>
                <w:kern w:val="0"/>
              </w:rPr>
            </w:pPr>
            <w:r>
              <w:rPr>
                <w:rFonts w:hint="eastAsia"/>
                <w:color w:val="000000"/>
                <w:kern w:val="0"/>
              </w:rPr>
              <w:t>8</w:t>
            </w:r>
          </w:p>
        </w:tc>
        <w:tc>
          <w:tcPr>
            <w:tcW w:w="1758" w:type="pct"/>
            <w:vAlign w:val="center"/>
          </w:tcPr>
          <w:p w14:paraId="308BE63A">
            <w:pPr>
              <w:jc w:val="center"/>
              <w:rPr>
                <w:rFonts w:cs="宋体"/>
              </w:rPr>
            </w:pPr>
            <w:r>
              <w:rPr>
                <w:rFonts w:hint="eastAsia" w:cs="宋体"/>
              </w:rPr>
              <w:t>DB 14/T 1574</w:t>
            </w:r>
          </w:p>
        </w:tc>
        <w:tc>
          <w:tcPr>
            <w:tcW w:w="2778" w:type="pct"/>
            <w:vAlign w:val="center"/>
          </w:tcPr>
          <w:p w14:paraId="53944D40">
            <w:pPr>
              <w:jc w:val="center"/>
              <w:rPr>
                <w:rFonts w:cs="宋体"/>
              </w:rPr>
            </w:pPr>
            <w:r>
              <w:rPr>
                <w:rFonts w:hint="eastAsia" w:cs="宋体"/>
              </w:rPr>
              <w:t>甜瓜穴盘嫁接育苗技术规程</w:t>
            </w:r>
          </w:p>
        </w:tc>
      </w:tr>
      <w:tr w14:paraId="540A3B4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463" w:type="pct"/>
            <w:tcBorders>
              <w:bottom w:val="single" w:color="008000" w:sz="12" w:space="0"/>
            </w:tcBorders>
            <w:vAlign w:val="center"/>
          </w:tcPr>
          <w:p w14:paraId="266181DD">
            <w:pPr>
              <w:spacing w:line="480" w:lineRule="auto"/>
              <w:jc w:val="center"/>
              <w:rPr>
                <w:color w:val="000000"/>
                <w:kern w:val="0"/>
              </w:rPr>
            </w:pPr>
            <w:r>
              <w:rPr>
                <w:rFonts w:hint="eastAsia"/>
                <w:color w:val="000000"/>
                <w:kern w:val="0"/>
              </w:rPr>
              <w:t>9</w:t>
            </w:r>
          </w:p>
        </w:tc>
        <w:tc>
          <w:tcPr>
            <w:tcW w:w="1758" w:type="pct"/>
            <w:tcBorders>
              <w:bottom w:val="single" w:color="008000" w:sz="12" w:space="0"/>
            </w:tcBorders>
            <w:vAlign w:val="center"/>
          </w:tcPr>
          <w:p w14:paraId="741A43BD">
            <w:pPr>
              <w:jc w:val="center"/>
              <w:rPr>
                <w:rFonts w:cs="宋体"/>
              </w:rPr>
            </w:pPr>
            <w:r>
              <w:rPr>
                <w:rFonts w:hint="eastAsia" w:cs="宋体"/>
              </w:rPr>
              <w:t>DB 14/T 2608</w:t>
            </w:r>
          </w:p>
        </w:tc>
        <w:tc>
          <w:tcPr>
            <w:tcW w:w="2778" w:type="pct"/>
            <w:tcBorders>
              <w:bottom w:val="single" w:color="008000" w:sz="12" w:space="0"/>
            </w:tcBorders>
            <w:vAlign w:val="center"/>
          </w:tcPr>
          <w:p w14:paraId="11A1673A">
            <w:pPr>
              <w:jc w:val="center"/>
              <w:rPr>
                <w:rFonts w:cs="宋体"/>
              </w:rPr>
            </w:pPr>
            <w:r>
              <w:rPr>
                <w:rFonts w:hint="eastAsia" w:cs="宋体"/>
              </w:rPr>
              <w:t>旱作农田有机肥料施用技术规程</w:t>
            </w:r>
          </w:p>
        </w:tc>
      </w:tr>
    </w:tbl>
    <w:p w14:paraId="6305EAB4">
      <w:pPr>
        <w:spacing w:before="156" w:beforeLines="50" w:after="156" w:afterLines="50"/>
        <w:ind w:firstLine="240" w:firstLineChars="100"/>
        <w:rPr>
          <w:rFonts w:ascii="黑体" w:eastAsia="黑体"/>
          <w:sz w:val="24"/>
        </w:rPr>
      </w:pPr>
      <w:r>
        <w:rPr>
          <w:rFonts w:hint="eastAsia" w:ascii="黑体" w:eastAsia="黑体"/>
          <w:sz w:val="24"/>
        </w:rPr>
        <w:t>五</w:t>
      </w:r>
      <w:r>
        <w:rPr>
          <w:rFonts w:ascii="黑体" w:eastAsia="黑体"/>
          <w:sz w:val="24"/>
        </w:rPr>
        <w:t>、</w:t>
      </w:r>
      <w:r>
        <w:rPr>
          <w:rFonts w:hint="eastAsia" w:ascii="黑体" w:eastAsia="黑体"/>
          <w:sz w:val="24"/>
        </w:rPr>
        <w:t xml:space="preserve">主要条款的说明 </w:t>
      </w:r>
    </w:p>
    <w:p w14:paraId="72BFDC50">
      <w:pPr>
        <w:autoSpaceDE w:val="0"/>
        <w:autoSpaceDN w:val="0"/>
        <w:adjustRightInd w:val="0"/>
        <w:ind w:firstLine="240" w:firstLineChars="100"/>
        <w:jc w:val="left"/>
        <w:rPr>
          <w:rFonts w:eastAsia="仿宋_GB2312"/>
          <w:bCs/>
          <w:sz w:val="24"/>
        </w:rPr>
      </w:pPr>
      <w:r>
        <w:rPr>
          <w:rFonts w:hint="eastAsia" w:eastAsia="仿宋_GB2312"/>
          <w:bCs/>
          <w:sz w:val="24"/>
        </w:rPr>
        <w:t>1.1 品种选择（5.1.1）</w:t>
      </w:r>
    </w:p>
    <w:p w14:paraId="1F5E0C15">
      <w:pPr>
        <w:spacing w:before="156" w:beforeLines="50" w:after="156" w:afterLines="50"/>
        <w:rPr>
          <w:rFonts w:eastAsia="仿宋_GB2312"/>
          <w:bCs/>
          <w:sz w:val="24"/>
        </w:rPr>
      </w:pPr>
      <w:r>
        <w:rPr>
          <w:rFonts w:hint="eastAsia" w:ascii="宋体" w:hAnsi="宋体" w:cs="宋体"/>
          <w:sz w:val="28"/>
          <w:szCs w:val="28"/>
        </w:rPr>
        <w:t xml:space="preserve"> </w:t>
      </w:r>
      <w:r>
        <w:rPr>
          <w:rFonts w:hint="eastAsia" w:eastAsia="仿宋_GB2312"/>
          <w:bCs/>
          <w:sz w:val="24"/>
        </w:rPr>
        <w:t xml:space="preserve"> 1.1.1 确定依据</w:t>
      </w:r>
    </w:p>
    <w:p w14:paraId="1935E801">
      <w:pPr>
        <w:spacing w:before="156" w:beforeLines="50" w:after="156" w:afterLines="50"/>
        <w:ind w:firstLine="560" w:firstLineChars="200"/>
        <w:rPr>
          <w:rFonts w:hint="eastAsia" w:ascii="宋体" w:hAnsi="宋体" w:cs="宋体"/>
          <w:sz w:val="28"/>
          <w:szCs w:val="28"/>
        </w:rPr>
      </w:pPr>
      <w:r>
        <w:rPr>
          <w:rFonts w:hint="eastAsia" w:ascii="宋体" w:hAnsi="宋体" w:cs="宋体"/>
          <w:sz w:val="28"/>
          <w:szCs w:val="28"/>
        </w:rPr>
        <w:t>本指标主要采用2022年山西农业大学园艺学院参与，新疆农业科学院农业科技创新稳定支持专项“甜瓜重要性状形成的分子调控机制”项目和本科生试验《甜瓜品种比较》对品种选择部分确定。</w:t>
      </w:r>
    </w:p>
    <w:p w14:paraId="4384BD61">
      <w:pPr>
        <w:spacing w:before="156" w:beforeLines="50" w:after="156" w:afterLines="50"/>
        <w:rPr>
          <w:rFonts w:eastAsia="仿宋_GB2312"/>
          <w:bCs/>
          <w:sz w:val="24"/>
        </w:rPr>
      </w:pPr>
      <w:r>
        <w:rPr>
          <w:rFonts w:hint="eastAsia" w:ascii="宋体" w:hAnsi="宋体" w:cs="宋体"/>
          <w:sz w:val="28"/>
          <w:szCs w:val="28"/>
        </w:rPr>
        <w:t xml:space="preserve"> </w:t>
      </w:r>
      <w:r>
        <w:rPr>
          <w:rFonts w:hint="eastAsia" w:eastAsia="仿宋_GB2312"/>
          <w:bCs/>
          <w:sz w:val="24"/>
        </w:rPr>
        <w:t xml:space="preserve"> 1.1.2 验证方法</w:t>
      </w:r>
    </w:p>
    <w:p w14:paraId="54362092">
      <w:pPr>
        <w:spacing w:before="156" w:beforeLines="50" w:after="156" w:afterLines="50"/>
        <w:ind w:firstLine="560" w:firstLineChars="200"/>
        <w:rPr>
          <w:rFonts w:hint="eastAsia" w:ascii="宋体" w:hAnsi="宋体" w:cs="宋体"/>
          <w:sz w:val="28"/>
          <w:szCs w:val="28"/>
        </w:rPr>
      </w:pPr>
      <w:r>
        <w:rPr>
          <w:rFonts w:hint="eastAsia" w:ascii="宋体" w:hAnsi="宋体" w:cs="宋体"/>
          <w:sz w:val="28"/>
          <w:szCs w:val="28"/>
        </w:rPr>
        <w:t>2022年至今，通过在山西农业大学园艺学院实验站和巨鑫校外实践基地，采用标准种苗进行了《甜瓜品种比较》试验，从全国引进23个甜瓜品种，对甜瓜栽培品种及种苗选择进行了验证。</w:t>
      </w:r>
    </w:p>
    <w:p w14:paraId="670168B2">
      <w:pPr>
        <w:spacing w:before="156" w:beforeLines="50" w:after="156" w:afterLines="50"/>
        <w:ind w:firstLine="240" w:firstLineChars="100"/>
        <w:rPr>
          <w:rFonts w:eastAsia="仿宋_GB2312"/>
          <w:bCs/>
          <w:sz w:val="24"/>
        </w:rPr>
      </w:pPr>
      <w:r>
        <w:rPr>
          <w:rFonts w:hint="eastAsia" w:eastAsia="仿宋_GB2312"/>
          <w:bCs/>
          <w:sz w:val="24"/>
        </w:rPr>
        <w:t>1.2 整地施肥（5.2）</w:t>
      </w:r>
    </w:p>
    <w:p w14:paraId="2D390624">
      <w:pPr>
        <w:spacing w:before="156" w:beforeLines="50" w:after="156" w:afterLines="50"/>
        <w:rPr>
          <w:rFonts w:eastAsia="仿宋_GB2312"/>
          <w:bCs/>
          <w:sz w:val="24"/>
        </w:rPr>
      </w:pPr>
      <w:r>
        <w:rPr>
          <w:rFonts w:hint="eastAsia" w:ascii="宋体" w:hAnsi="宋体" w:cs="宋体"/>
          <w:sz w:val="28"/>
          <w:szCs w:val="28"/>
        </w:rPr>
        <w:t xml:space="preserve"> </w:t>
      </w:r>
      <w:r>
        <w:rPr>
          <w:rFonts w:hint="eastAsia" w:eastAsia="仿宋_GB2312"/>
          <w:bCs/>
          <w:sz w:val="24"/>
        </w:rPr>
        <w:t xml:space="preserve"> 1.2.1 确定依据</w:t>
      </w:r>
    </w:p>
    <w:p w14:paraId="227B469A">
      <w:pPr>
        <w:spacing w:before="156" w:beforeLines="50" w:after="156" w:afterLines="50"/>
        <w:ind w:firstLine="560" w:firstLineChars="200"/>
        <w:rPr>
          <w:rFonts w:hint="eastAsia" w:ascii="宋体" w:hAnsi="宋体" w:cs="宋体"/>
          <w:sz w:val="28"/>
          <w:szCs w:val="28"/>
        </w:rPr>
      </w:pPr>
      <w:r>
        <w:rPr>
          <w:rFonts w:hint="eastAsia" w:ascii="宋体" w:hAnsi="宋体" w:cs="宋体"/>
          <w:sz w:val="28"/>
          <w:szCs w:val="28"/>
        </w:rPr>
        <w:t>根据文献记载并结合试验研究，对甜瓜栽培施用不同有机肥、化肥、施用方法以及不同垄作方式进行试验，通过植株生长指标、生理代谢、产量和品质的研究，综合分析确定。</w:t>
      </w:r>
    </w:p>
    <w:p w14:paraId="2ED31023">
      <w:pPr>
        <w:spacing w:before="156" w:beforeLines="50" w:after="156" w:afterLines="50"/>
        <w:rPr>
          <w:rFonts w:eastAsia="仿宋_GB2312"/>
          <w:bCs/>
          <w:sz w:val="24"/>
        </w:rPr>
      </w:pPr>
      <w:r>
        <w:rPr>
          <w:rFonts w:hint="eastAsia" w:eastAsia="仿宋_GB2312"/>
          <w:bCs/>
          <w:sz w:val="24"/>
        </w:rPr>
        <w:t xml:space="preserve">  1.2.2 验证方法</w:t>
      </w:r>
    </w:p>
    <w:p w14:paraId="63B1DAF5">
      <w:pPr>
        <w:spacing w:before="156" w:beforeLines="50" w:after="156" w:afterLines="50"/>
        <w:ind w:firstLine="560" w:firstLineChars="200"/>
        <w:rPr>
          <w:rFonts w:hint="eastAsia" w:ascii="宋体" w:hAnsi="宋体" w:cs="宋体"/>
          <w:sz w:val="28"/>
          <w:szCs w:val="28"/>
        </w:rPr>
      </w:pPr>
      <w:r>
        <w:rPr>
          <w:rFonts w:hint="eastAsia" w:ascii="宋体" w:hAnsi="宋体" w:cs="宋体"/>
          <w:sz w:val="28"/>
          <w:szCs w:val="28"/>
        </w:rPr>
        <w:t>2022年至今，通过在山西农业大学园艺学院实验站和巨鑫校外实践基地，进行了《不同氮素水平对甜瓜生长和产量的影响》、《不同垄作方式对甜瓜栽培的影响研究》等试验，对露地甜瓜栽培整地施肥进行了验证。</w:t>
      </w:r>
    </w:p>
    <w:p w14:paraId="701C0010">
      <w:pPr>
        <w:spacing w:before="156" w:beforeLines="50" w:after="156" w:afterLines="50"/>
        <w:ind w:firstLine="240" w:firstLineChars="100"/>
        <w:rPr>
          <w:rFonts w:eastAsia="仿宋_GB2312"/>
          <w:bCs/>
          <w:sz w:val="24"/>
        </w:rPr>
      </w:pPr>
      <w:r>
        <w:rPr>
          <w:rFonts w:hint="eastAsia" w:eastAsia="仿宋_GB2312"/>
          <w:bCs/>
          <w:sz w:val="24"/>
        </w:rPr>
        <w:t>1.3 定植密度（6.2）</w:t>
      </w:r>
    </w:p>
    <w:p w14:paraId="7C00E4A4">
      <w:pPr>
        <w:spacing w:before="156" w:beforeLines="50" w:after="156" w:afterLines="50"/>
        <w:rPr>
          <w:rFonts w:eastAsia="仿宋_GB2312"/>
          <w:bCs/>
          <w:sz w:val="24"/>
        </w:rPr>
      </w:pPr>
      <w:r>
        <w:rPr>
          <w:rFonts w:hint="eastAsia" w:eastAsia="仿宋_GB2312"/>
          <w:bCs/>
          <w:sz w:val="24"/>
        </w:rPr>
        <w:t xml:space="preserve">  1.3.1 确定依据</w:t>
      </w:r>
    </w:p>
    <w:p w14:paraId="355CB454">
      <w:pPr>
        <w:spacing w:before="156" w:beforeLines="50" w:after="156" w:afterLines="50"/>
        <w:ind w:firstLine="560" w:firstLineChars="200"/>
        <w:rPr>
          <w:rFonts w:hint="eastAsia" w:ascii="宋体" w:hAnsi="宋体" w:cs="宋体"/>
          <w:sz w:val="28"/>
          <w:szCs w:val="28"/>
        </w:rPr>
      </w:pPr>
      <w:r>
        <w:rPr>
          <w:rFonts w:hint="eastAsia" w:ascii="宋体" w:hAnsi="宋体" w:cs="宋体"/>
          <w:sz w:val="28"/>
          <w:szCs w:val="28"/>
        </w:rPr>
        <w:t>本指标主要根据项目组近几年来的科研项目、推广示范项目以及研究生、本科生试验研究测试结果和文献资料记载，对甜瓜种植密度进行了系统研究，确定了露地甜瓜生产中株行距。</w:t>
      </w:r>
    </w:p>
    <w:p w14:paraId="3FB24AFB">
      <w:pPr>
        <w:spacing w:before="156" w:beforeLines="50" w:after="156" w:afterLines="50"/>
        <w:ind w:firstLine="240" w:firstLineChars="100"/>
        <w:rPr>
          <w:rFonts w:eastAsia="仿宋_GB2312"/>
          <w:bCs/>
          <w:sz w:val="24"/>
        </w:rPr>
      </w:pPr>
      <w:r>
        <w:rPr>
          <w:rFonts w:hint="eastAsia" w:eastAsia="仿宋_GB2312"/>
          <w:bCs/>
          <w:sz w:val="24"/>
        </w:rPr>
        <w:t>1.3.2 验证方法</w:t>
      </w:r>
    </w:p>
    <w:p w14:paraId="57305C92">
      <w:pPr>
        <w:spacing w:before="156" w:beforeLines="50" w:after="156" w:afterLines="50"/>
        <w:ind w:firstLine="560" w:firstLineChars="200"/>
        <w:rPr>
          <w:rFonts w:hint="eastAsia" w:ascii="宋体" w:hAnsi="宋体" w:cs="宋体"/>
          <w:sz w:val="28"/>
          <w:szCs w:val="28"/>
        </w:rPr>
      </w:pPr>
      <w:r>
        <w:rPr>
          <w:rFonts w:hint="eastAsia" w:ascii="宋体" w:hAnsi="宋体" w:cs="宋体"/>
          <w:sz w:val="28"/>
          <w:szCs w:val="28"/>
        </w:rPr>
        <w:t>2022年至今，项目组成员在太谷等基地露地甜瓜生产中，进一步对株行距，栽植密度进行了验证。</w:t>
      </w:r>
    </w:p>
    <w:p w14:paraId="767768BC">
      <w:pPr>
        <w:spacing w:before="156" w:beforeLines="50" w:after="156" w:afterLines="50"/>
        <w:ind w:firstLine="240" w:firstLineChars="100"/>
        <w:rPr>
          <w:rFonts w:ascii="黑体" w:eastAsia="黑体"/>
          <w:sz w:val="24"/>
        </w:rPr>
      </w:pPr>
      <w:r>
        <w:rPr>
          <w:rFonts w:hint="eastAsia" w:ascii="黑体" w:eastAsia="黑体"/>
          <w:sz w:val="24"/>
        </w:rPr>
        <w:t>六、重大意见分歧的处理依据和结果</w:t>
      </w:r>
    </w:p>
    <w:p w14:paraId="2B462EAB">
      <w:pPr>
        <w:spacing w:before="156" w:beforeLines="50" w:after="156" w:afterLines="50"/>
        <w:ind w:firstLine="560" w:firstLineChars="200"/>
        <w:rPr>
          <w:sz w:val="28"/>
          <w:szCs w:val="28"/>
        </w:rPr>
      </w:pPr>
      <w:r>
        <w:rPr>
          <w:rFonts w:hint="eastAsia"/>
          <w:sz w:val="28"/>
          <w:szCs w:val="28"/>
        </w:rPr>
        <w:t>无重大意见分歧。</w:t>
      </w:r>
    </w:p>
    <w:p w14:paraId="46C755AB">
      <w:pPr>
        <w:spacing w:before="156" w:beforeLines="50" w:after="156" w:afterLines="50"/>
        <w:ind w:firstLine="240" w:firstLineChars="100"/>
        <w:rPr>
          <w:rFonts w:ascii="黑体" w:eastAsia="黑体"/>
          <w:sz w:val="24"/>
          <w:szCs w:val="24"/>
        </w:rPr>
      </w:pPr>
      <w:r>
        <w:rPr>
          <w:rFonts w:hint="eastAsia" w:ascii="黑体" w:eastAsia="黑体"/>
          <w:sz w:val="24"/>
          <w:szCs w:val="24"/>
        </w:rPr>
        <w:t>七、作为推荐性标准的建议及其理由</w:t>
      </w:r>
    </w:p>
    <w:p w14:paraId="30E99593">
      <w:pPr>
        <w:ind w:firstLine="560" w:firstLineChars="200"/>
        <w:rPr>
          <w:sz w:val="28"/>
          <w:szCs w:val="28"/>
        </w:rPr>
      </w:pPr>
      <w:r>
        <w:rPr>
          <w:rFonts w:hint="eastAsia" w:cs="宋体"/>
          <w:sz w:val="28"/>
          <w:szCs w:val="28"/>
        </w:rPr>
        <w:t>本标准从甜瓜旱作栽培技术的实际要求出发，参考相关的国家或行业标准和规范，结合山西省当地实际情况进行制定，符合现行的相关法律、法规和</w:t>
      </w:r>
      <w:r>
        <w:rPr>
          <w:rFonts w:hint="eastAsia" w:cs="宋体"/>
          <w:sz w:val="28"/>
          <w:szCs w:val="28"/>
          <w:lang w:val="en-US" w:eastAsia="zh-CN"/>
        </w:rPr>
        <w:t>推荐</w:t>
      </w:r>
      <w:r>
        <w:rPr>
          <w:rFonts w:hint="eastAsia" w:cs="宋体"/>
          <w:sz w:val="28"/>
          <w:szCs w:val="28"/>
        </w:rPr>
        <w:t>性标准。</w:t>
      </w:r>
    </w:p>
    <w:p w14:paraId="6D99A4A0">
      <w:pPr>
        <w:ind w:firstLine="560" w:firstLineChars="200"/>
        <w:rPr>
          <w:rFonts w:ascii="宋体"/>
          <w:sz w:val="28"/>
          <w:szCs w:val="28"/>
        </w:rPr>
      </w:pPr>
      <w:r>
        <w:rPr>
          <w:rFonts w:hint="eastAsia" w:ascii="宋体" w:hAnsi="宋体" w:cs="宋体"/>
          <w:sz w:val="28"/>
          <w:szCs w:val="28"/>
        </w:rPr>
        <w:t>建议本标准作为推荐性山西省地方标准发布实施。</w:t>
      </w:r>
    </w:p>
    <w:p w14:paraId="785AFB24">
      <w:pPr>
        <w:spacing w:before="156" w:beforeLines="50" w:after="156" w:afterLines="50"/>
        <w:ind w:firstLine="240" w:firstLineChars="100"/>
        <w:rPr>
          <w:rFonts w:ascii="黑体" w:eastAsia="黑体"/>
          <w:sz w:val="24"/>
          <w:szCs w:val="24"/>
        </w:rPr>
      </w:pPr>
      <w:r>
        <w:rPr>
          <w:rFonts w:hint="eastAsia" w:ascii="黑体" w:eastAsia="黑体"/>
          <w:sz w:val="24"/>
          <w:szCs w:val="24"/>
        </w:rPr>
        <w:t>八、实施标准的措施建议</w:t>
      </w:r>
    </w:p>
    <w:p w14:paraId="66BC8F17">
      <w:pPr>
        <w:spacing w:before="156" w:beforeLines="50" w:after="156" w:afterLines="50"/>
        <w:ind w:firstLine="240" w:firstLineChars="100"/>
        <w:rPr>
          <w:rFonts w:eastAsia="仿宋_GB2312"/>
          <w:bCs/>
          <w:sz w:val="24"/>
        </w:rPr>
      </w:pPr>
      <w:r>
        <w:rPr>
          <w:rFonts w:hint="eastAsia" w:eastAsia="仿宋_GB2312"/>
          <w:bCs/>
          <w:sz w:val="24"/>
        </w:rPr>
        <w:t xml:space="preserve">1.加大媒体宣传力度 </w:t>
      </w:r>
    </w:p>
    <w:p w14:paraId="75AE0BB8">
      <w:pPr>
        <w:widowControl/>
        <w:spacing w:line="360" w:lineRule="auto"/>
        <w:ind w:firstLine="560" w:firstLineChars="200"/>
        <w:rPr>
          <w:sz w:val="28"/>
          <w:szCs w:val="28"/>
        </w:rPr>
      </w:pPr>
      <w:r>
        <w:rPr>
          <w:sz w:val="28"/>
          <w:szCs w:val="28"/>
        </w:rPr>
        <w:t>把</w:t>
      </w:r>
      <w:r>
        <w:rPr>
          <w:rFonts w:hint="eastAsia"/>
          <w:sz w:val="28"/>
          <w:szCs w:val="28"/>
        </w:rPr>
        <w:t>标准</w:t>
      </w:r>
      <w:r>
        <w:rPr>
          <w:sz w:val="28"/>
          <w:szCs w:val="28"/>
        </w:rPr>
        <w:t>的实施作为提升山西省</w:t>
      </w:r>
      <w:r>
        <w:rPr>
          <w:rFonts w:hint="eastAsia"/>
          <w:sz w:val="28"/>
          <w:szCs w:val="28"/>
        </w:rPr>
        <w:t>甜瓜旱作栽培技术</w:t>
      </w:r>
      <w:r>
        <w:rPr>
          <w:sz w:val="28"/>
          <w:szCs w:val="28"/>
        </w:rPr>
        <w:t>水平的重要推手，</w:t>
      </w:r>
      <w:r>
        <w:rPr>
          <w:rFonts w:hint="eastAsia"/>
          <w:sz w:val="28"/>
          <w:szCs w:val="28"/>
        </w:rPr>
        <w:t>在“山西农业网蔬菜子网”、“山西蔬菜微信”等媒体开辟专栏，在国内主要蔬菜杂志和报纸上对标准进行专题介绍和宣传，将该技术标准普及到基层生产企业和农民手中。</w:t>
      </w:r>
    </w:p>
    <w:p w14:paraId="787F7D2B">
      <w:pPr>
        <w:spacing w:before="156" w:beforeLines="50" w:after="156" w:afterLines="50"/>
        <w:ind w:firstLine="240" w:firstLineChars="100"/>
        <w:rPr>
          <w:rFonts w:eastAsia="仿宋_GB2312"/>
          <w:bCs/>
          <w:sz w:val="24"/>
        </w:rPr>
      </w:pPr>
      <w:r>
        <w:rPr>
          <w:rFonts w:hint="eastAsia" w:eastAsia="仿宋_GB2312"/>
          <w:bCs/>
          <w:sz w:val="24"/>
        </w:rPr>
        <w:t xml:space="preserve">2.建立标准化示范园 </w:t>
      </w:r>
    </w:p>
    <w:p w14:paraId="48285A2E">
      <w:pPr>
        <w:widowControl/>
        <w:spacing w:line="360" w:lineRule="auto"/>
        <w:ind w:firstLine="560" w:firstLineChars="200"/>
        <w:rPr>
          <w:sz w:val="24"/>
        </w:rPr>
      </w:pPr>
      <w:r>
        <w:rPr>
          <w:rFonts w:hint="eastAsia"/>
          <w:sz w:val="28"/>
          <w:szCs w:val="28"/>
        </w:rPr>
        <w:t>通过在山西省境内主要蔬菜园区和合作社建立该标准示范点，</w:t>
      </w:r>
      <w:r>
        <w:rPr>
          <w:sz w:val="28"/>
          <w:szCs w:val="28"/>
        </w:rPr>
        <w:t>树立样板</w:t>
      </w:r>
      <w:r>
        <w:rPr>
          <w:rFonts w:hint="eastAsia"/>
          <w:sz w:val="28"/>
          <w:szCs w:val="28"/>
        </w:rPr>
        <w:t>，</w:t>
      </w:r>
      <w:r>
        <w:rPr>
          <w:sz w:val="28"/>
          <w:szCs w:val="28"/>
        </w:rPr>
        <w:t>奖励典型</w:t>
      </w:r>
      <w:r>
        <w:rPr>
          <w:rFonts w:hint="eastAsia"/>
          <w:sz w:val="28"/>
          <w:szCs w:val="28"/>
        </w:rPr>
        <w:t>，</w:t>
      </w:r>
      <w:r>
        <w:rPr>
          <w:sz w:val="28"/>
          <w:szCs w:val="28"/>
        </w:rPr>
        <w:t>以点带面</w:t>
      </w:r>
      <w:r>
        <w:rPr>
          <w:rFonts w:hint="eastAsia"/>
          <w:sz w:val="28"/>
          <w:szCs w:val="28"/>
        </w:rPr>
        <w:t>，推进本标准的广泛实施。</w:t>
      </w:r>
    </w:p>
    <w:p w14:paraId="167EEB13">
      <w:pPr>
        <w:spacing w:before="156" w:beforeLines="50" w:after="156" w:afterLines="50"/>
        <w:ind w:firstLine="240" w:firstLineChars="100"/>
        <w:rPr>
          <w:rFonts w:eastAsia="仿宋_GB2312"/>
          <w:bCs/>
          <w:sz w:val="24"/>
        </w:rPr>
      </w:pPr>
      <w:r>
        <w:rPr>
          <w:rFonts w:hint="eastAsia" w:eastAsia="仿宋_GB2312"/>
          <w:bCs/>
          <w:sz w:val="24"/>
        </w:rPr>
        <w:t xml:space="preserve">3.加强技术培训 </w:t>
      </w:r>
    </w:p>
    <w:p w14:paraId="05607A8D">
      <w:pPr>
        <w:ind w:firstLine="560" w:firstLineChars="200"/>
        <w:rPr>
          <w:rFonts w:hint="default" w:ascii="Times New Roman" w:hAnsi="Times New Roman" w:eastAsia="宋体" w:cs="Times New Roman"/>
          <w:b/>
          <w:sz w:val="28"/>
          <w:szCs w:val="28"/>
        </w:rPr>
      </w:pPr>
      <w:r>
        <w:rPr>
          <w:rFonts w:hint="eastAsia"/>
          <w:sz w:val="28"/>
          <w:szCs w:val="28"/>
        </w:rPr>
        <w:t>在本标准发布实施初期，在各个示范点进行甜瓜旱作栽培标准化技术人员的培训及现场指导，做好技术示范，深入指导，确保技术进村入户。</w:t>
      </w:r>
      <w:bookmarkStart w:id="0" w:name="_GoBack"/>
      <w:bookmarkEnd w:id="0"/>
    </w:p>
    <w:p w14:paraId="35E9B36B">
      <w:pPr>
        <w:widowControl/>
        <w:spacing w:line="360" w:lineRule="auto"/>
        <w:ind w:firstLine="560" w:firstLineChars="200"/>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
      <w:suff w:val="nothing"/>
      <w:lvlText w:val="%1　"/>
      <w:lvlJc w:val="left"/>
      <w:rPr>
        <w:rFonts w:hint="eastAsia" w:ascii="黑体" w:hAnsi="Times New Roman" w:eastAsia="黑体"/>
        <w:b w:val="0"/>
        <w:bCs w:val="0"/>
        <w:i w:val="0"/>
        <w:iCs w:val="0"/>
        <w:sz w:val="21"/>
        <w:szCs w:val="21"/>
      </w:rPr>
    </w:lvl>
    <w:lvl w:ilvl="1" w:tentative="0">
      <w:start w:val="1"/>
      <w:numFmt w:val="decimal"/>
      <w:pStyle w:val="18"/>
      <w:suff w:val="nothing"/>
      <w:lvlText w:val="%1.%2　"/>
      <w:lvlJc w:val="left"/>
      <w:rPr>
        <w:rFonts w:hint="eastAsia" w:ascii="黑体" w:hAnsi="Times New Roman" w:eastAsia="黑体"/>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rPr>
        <w:rFonts w:hint="eastAsia" w:ascii="黑体" w:hAnsi="Times New Roman" w:eastAsia="黑体"/>
        <w:b w:val="0"/>
        <w:bCs w:val="0"/>
        <w:i w:val="0"/>
        <w:iCs w:val="0"/>
        <w:sz w:val="21"/>
        <w:szCs w:val="21"/>
      </w:rPr>
    </w:lvl>
    <w:lvl w:ilvl="3" w:tentative="0">
      <w:start w:val="1"/>
      <w:numFmt w:val="decimal"/>
      <w:suff w:val="nothing"/>
      <w:lvlText w:val="%1.%2.%3.%4　"/>
      <w:lvlJc w:val="left"/>
      <w:rPr>
        <w:rFonts w:hint="eastAsia" w:ascii="黑体" w:hAnsi="Times New Roman" w:eastAsia="黑体"/>
        <w:b w:val="0"/>
        <w:bCs w:val="0"/>
        <w:i w:val="0"/>
        <w:iCs w:val="0"/>
        <w:sz w:val="21"/>
        <w:szCs w:val="21"/>
      </w:rPr>
    </w:lvl>
    <w:lvl w:ilvl="4" w:tentative="0">
      <w:start w:val="1"/>
      <w:numFmt w:val="decimal"/>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799562E6"/>
    <w:multiLevelType w:val="singleLevel"/>
    <w:tmpl w:val="799562E6"/>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zMWQ2MTE4NGY1MjM1MDFmZGVjZWVhZGRjMjQ1MzEifQ=="/>
  </w:docVars>
  <w:rsids>
    <w:rsidRoot w:val="00C61F4C"/>
    <w:rsid w:val="0000425E"/>
    <w:rsid w:val="00006D16"/>
    <w:rsid w:val="00052CA9"/>
    <w:rsid w:val="00067913"/>
    <w:rsid w:val="0008626E"/>
    <w:rsid w:val="000C478C"/>
    <w:rsid w:val="000C4B76"/>
    <w:rsid w:val="000C5CA0"/>
    <w:rsid w:val="000C5D9C"/>
    <w:rsid w:val="000D468C"/>
    <w:rsid w:val="001021BC"/>
    <w:rsid w:val="0010795B"/>
    <w:rsid w:val="00120CC7"/>
    <w:rsid w:val="00126694"/>
    <w:rsid w:val="0014209B"/>
    <w:rsid w:val="001823E5"/>
    <w:rsid w:val="001A348C"/>
    <w:rsid w:val="001D2854"/>
    <w:rsid w:val="001E1B23"/>
    <w:rsid w:val="001F0909"/>
    <w:rsid w:val="001F5844"/>
    <w:rsid w:val="001F6630"/>
    <w:rsid w:val="0021473F"/>
    <w:rsid w:val="0026051D"/>
    <w:rsid w:val="002B4CDE"/>
    <w:rsid w:val="002D0925"/>
    <w:rsid w:val="002E0EA3"/>
    <w:rsid w:val="002F1783"/>
    <w:rsid w:val="00312603"/>
    <w:rsid w:val="003151C3"/>
    <w:rsid w:val="003161E9"/>
    <w:rsid w:val="0034751B"/>
    <w:rsid w:val="00374682"/>
    <w:rsid w:val="00384507"/>
    <w:rsid w:val="003A7371"/>
    <w:rsid w:val="003B20B1"/>
    <w:rsid w:val="003D693F"/>
    <w:rsid w:val="00455C63"/>
    <w:rsid w:val="004A2ECC"/>
    <w:rsid w:val="004D4173"/>
    <w:rsid w:val="004F2329"/>
    <w:rsid w:val="00500F72"/>
    <w:rsid w:val="00502B0B"/>
    <w:rsid w:val="005158BC"/>
    <w:rsid w:val="00530907"/>
    <w:rsid w:val="00542EF7"/>
    <w:rsid w:val="005524A7"/>
    <w:rsid w:val="00553FD8"/>
    <w:rsid w:val="00566E5D"/>
    <w:rsid w:val="0058425F"/>
    <w:rsid w:val="005A2679"/>
    <w:rsid w:val="005C576E"/>
    <w:rsid w:val="00604F48"/>
    <w:rsid w:val="006469DE"/>
    <w:rsid w:val="00647A43"/>
    <w:rsid w:val="006576D7"/>
    <w:rsid w:val="00675C9A"/>
    <w:rsid w:val="006C1318"/>
    <w:rsid w:val="006D1674"/>
    <w:rsid w:val="006E0CD7"/>
    <w:rsid w:val="0075510D"/>
    <w:rsid w:val="007A7E9A"/>
    <w:rsid w:val="007D2BB1"/>
    <w:rsid w:val="007D4FDE"/>
    <w:rsid w:val="007F202B"/>
    <w:rsid w:val="0082390F"/>
    <w:rsid w:val="008305F3"/>
    <w:rsid w:val="00837F8B"/>
    <w:rsid w:val="008479D8"/>
    <w:rsid w:val="008549CC"/>
    <w:rsid w:val="00855B13"/>
    <w:rsid w:val="00877055"/>
    <w:rsid w:val="008A2F9B"/>
    <w:rsid w:val="008A33F0"/>
    <w:rsid w:val="008A44FC"/>
    <w:rsid w:val="008F2F36"/>
    <w:rsid w:val="008F31A3"/>
    <w:rsid w:val="00910EB9"/>
    <w:rsid w:val="00914934"/>
    <w:rsid w:val="00917DAE"/>
    <w:rsid w:val="00933FAD"/>
    <w:rsid w:val="00950399"/>
    <w:rsid w:val="0095675E"/>
    <w:rsid w:val="00981EE3"/>
    <w:rsid w:val="00996F23"/>
    <w:rsid w:val="009C51B8"/>
    <w:rsid w:val="009F7C7E"/>
    <w:rsid w:val="00A20EDD"/>
    <w:rsid w:val="00A25D9E"/>
    <w:rsid w:val="00A27558"/>
    <w:rsid w:val="00A328E3"/>
    <w:rsid w:val="00A33D5C"/>
    <w:rsid w:val="00A519BB"/>
    <w:rsid w:val="00A527EE"/>
    <w:rsid w:val="00A63D2C"/>
    <w:rsid w:val="00A807FA"/>
    <w:rsid w:val="00AC31BA"/>
    <w:rsid w:val="00AE758B"/>
    <w:rsid w:val="00B4638D"/>
    <w:rsid w:val="00B569AF"/>
    <w:rsid w:val="00B63982"/>
    <w:rsid w:val="00B83714"/>
    <w:rsid w:val="00B86F12"/>
    <w:rsid w:val="00B93710"/>
    <w:rsid w:val="00BB540E"/>
    <w:rsid w:val="00BB74F1"/>
    <w:rsid w:val="00BD625C"/>
    <w:rsid w:val="00BF00B2"/>
    <w:rsid w:val="00C05217"/>
    <w:rsid w:val="00C113BD"/>
    <w:rsid w:val="00C61F4C"/>
    <w:rsid w:val="00C62B4F"/>
    <w:rsid w:val="00CD525D"/>
    <w:rsid w:val="00CE1556"/>
    <w:rsid w:val="00CE5787"/>
    <w:rsid w:val="00D16DB7"/>
    <w:rsid w:val="00D37E1D"/>
    <w:rsid w:val="00D42EFD"/>
    <w:rsid w:val="00D66945"/>
    <w:rsid w:val="00D742B4"/>
    <w:rsid w:val="00D87303"/>
    <w:rsid w:val="00DD35A1"/>
    <w:rsid w:val="00E00715"/>
    <w:rsid w:val="00E275BC"/>
    <w:rsid w:val="00E527FC"/>
    <w:rsid w:val="00E754B6"/>
    <w:rsid w:val="00EA6B73"/>
    <w:rsid w:val="00EA7A70"/>
    <w:rsid w:val="00EC63DA"/>
    <w:rsid w:val="00ED482F"/>
    <w:rsid w:val="00EF229E"/>
    <w:rsid w:val="00F07C37"/>
    <w:rsid w:val="00F34296"/>
    <w:rsid w:val="00F47F55"/>
    <w:rsid w:val="00F60926"/>
    <w:rsid w:val="00F801B1"/>
    <w:rsid w:val="00FA0981"/>
    <w:rsid w:val="00FA7A5E"/>
    <w:rsid w:val="00FE408E"/>
    <w:rsid w:val="020D4B01"/>
    <w:rsid w:val="040A3CB7"/>
    <w:rsid w:val="1F077369"/>
    <w:rsid w:val="63DB2779"/>
    <w:rsid w:val="6469021A"/>
    <w:rsid w:val="6AAE6FAD"/>
    <w:rsid w:val="710E6311"/>
    <w:rsid w:val="754748B2"/>
    <w:rsid w:val="7DF270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3"/>
    <w:next w:val="1"/>
    <w:qFormat/>
    <w:locked/>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customStyle="1" w:styleId="3">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styleId="4">
    <w:name w:val="Body Text"/>
    <w:basedOn w:val="1"/>
    <w:link w:val="12"/>
    <w:qFormat/>
    <w:uiPriority w:val="99"/>
    <w:pPr>
      <w:spacing w:after="120"/>
    </w:p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qFormat/>
    <w:uiPriority w:val="99"/>
    <w:pPr>
      <w:tabs>
        <w:tab w:val="right" w:leader="dot" w:pos="9241"/>
      </w:tabs>
      <w:spacing w:beforeLines="25" w:afterLines="25"/>
      <w:ind w:firstLine="560" w:firstLineChars="200"/>
      <w:jc w:val="left"/>
    </w:pPr>
    <w:rPr>
      <w:rFonts w:ascii="宋体" w:hAnsi="宋体" w:cs="宋体"/>
      <w:color w:val="000000"/>
      <w:sz w:val="28"/>
      <w:szCs w:val="28"/>
    </w:rPr>
  </w:style>
  <w:style w:type="paragraph" w:styleId="8">
    <w:name w:val="Normal (Web)"/>
    <w:basedOn w:val="1"/>
    <w:qFormat/>
    <w:uiPriority w:val="99"/>
    <w:pPr>
      <w:jc w:val="left"/>
    </w:pPr>
    <w:rPr>
      <w:rFonts w:ascii="Calibri" w:hAnsi="Calibri" w:cs="Calibri"/>
      <w:kern w:val="0"/>
      <w:sz w:val="24"/>
      <w:szCs w:val="24"/>
    </w:rPr>
  </w:style>
  <w:style w:type="character" w:styleId="11">
    <w:name w:val="Strong"/>
    <w:qFormat/>
    <w:uiPriority w:val="99"/>
    <w:rPr>
      <w:b/>
      <w:bCs/>
    </w:rPr>
  </w:style>
  <w:style w:type="character" w:customStyle="1" w:styleId="12">
    <w:name w:val="正文文本 字符"/>
    <w:link w:val="4"/>
    <w:qFormat/>
    <w:locked/>
    <w:uiPriority w:val="99"/>
    <w:rPr>
      <w:rFonts w:ascii="Times New Roman" w:hAnsi="Times New Roman" w:eastAsia="宋体" w:cs="Times New Roman"/>
      <w:sz w:val="24"/>
      <w:szCs w:val="24"/>
    </w:rPr>
  </w:style>
  <w:style w:type="character" w:customStyle="1" w:styleId="13">
    <w:name w:val="页脚 字符"/>
    <w:link w:val="5"/>
    <w:qFormat/>
    <w:locked/>
    <w:uiPriority w:val="99"/>
    <w:rPr>
      <w:sz w:val="18"/>
      <w:szCs w:val="18"/>
    </w:rPr>
  </w:style>
  <w:style w:type="character" w:customStyle="1" w:styleId="14">
    <w:name w:val="页眉 字符"/>
    <w:link w:val="6"/>
    <w:qFormat/>
    <w:locked/>
    <w:uiPriority w:val="99"/>
    <w:rPr>
      <w:sz w:val="18"/>
      <w:szCs w:val="18"/>
    </w:rPr>
  </w:style>
  <w:style w:type="paragraph" w:customStyle="1" w:styleId="15">
    <w:name w:val="段"/>
    <w:link w:val="16"/>
    <w:qFormat/>
    <w:uiPriority w:val="99"/>
    <w:pPr>
      <w:tabs>
        <w:tab w:val="center" w:pos="4201"/>
        <w:tab w:val="right" w:leader="dot" w:pos="9298"/>
      </w:tabs>
      <w:autoSpaceDE w:val="0"/>
      <w:autoSpaceDN w:val="0"/>
      <w:ind w:firstLine="420" w:firstLineChars="200"/>
      <w:jc w:val="both"/>
    </w:pPr>
    <w:rPr>
      <w:rFonts w:ascii="宋体" w:hAnsi="Times New Roman" w:eastAsia="宋体" w:cs="宋体"/>
      <w:lang w:val="en-US" w:eastAsia="zh-CN" w:bidi="ar-SA"/>
    </w:rPr>
  </w:style>
  <w:style w:type="character" w:customStyle="1" w:styleId="16">
    <w:name w:val="段 Char"/>
    <w:link w:val="15"/>
    <w:qFormat/>
    <w:locked/>
    <w:uiPriority w:val="99"/>
    <w:rPr>
      <w:rFonts w:ascii="宋体" w:hAnsi="Times New Roman" w:eastAsia="宋体" w:cs="宋体"/>
      <w:lang w:val="en-US" w:eastAsia="zh-CN"/>
    </w:rPr>
  </w:style>
  <w:style w:type="paragraph" w:customStyle="1" w:styleId="17">
    <w:name w:val="标准书眉_奇数页"/>
    <w:next w:val="1"/>
    <w:qFormat/>
    <w:uiPriority w:val="99"/>
    <w:pPr>
      <w:tabs>
        <w:tab w:val="center" w:pos="4154"/>
        <w:tab w:val="right" w:pos="8306"/>
      </w:tabs>
      <w:spacing w:after="220"/>
      <w:jc w:val="right"/>
    </w:pPr>
    <w:rPr>
      <w:rFonts w:ascii="黑体" w:hAnsi="Times New Roman" w:eastAsia="黑体" w:cs="黑体"/>
      <w:sz w:val="21"/>
      <w:szCs w:val="21"/>
      <w:lang w:val="en-US" w:eastAsia="zh-CN" w:bidi="ar-SA"/>
    </w:rPr>
  </w:style>
  <w:style w:type="paragraph" w:customStyle="1" w:styleId="18">
    <w:name w:val="一级条标题"/>
    <w:next w:val="15"/>
    <w:qFormat/>
    <w:uiPriority w:val="99"/>
    <w:pPr>
      <w:numPr>
        <w:ilvl w:val="1"/>
        <w:numId w:val="1"/>
      </w:numPr>
      <w:spacing w:beforeLines="50" w:afterLines="50"/>
      <w:outlineLvl w:val="2"/>
    </w:pPr>
    <w:rPr>
      <w:rFonts w:ascii="黑体" w:hAnsi="Calibri" w:eastAsia="黑体" w:cs="黑体"/>
      <w:sz w:val="21"/>
      <w:szCs w:val="21"/>
      <w:lang w:val="en-US" w:eastAsia="zh-CN" w:bidi="ar-SA"/>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3467</Words>
  <Characters>3611</Characters>
  <Lines>28</Lines>
  <Paragraphs>7</Paragraphs>
  <TotalTime>2</TotalTime>
  <ScaleCrop>false</ScaleCrop>
  <LinksUpToDate>false</LinksUpToDate>
  <CharactersWithSpaces>3665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2020-06-19T06:53:00Z</dcterms:created>
  <dc:creator>wwx</dc:creator>
  <cp:lastModifiedBy>奥特曼斑斑 </cp:lastModifiedBy>
  <dcterms:modified xsi:type="dcterms:W3CDTF">2024-10-24T06:07:54Z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F03B3FF7C30F484D98425959E3585F41_13</vt:lpwstr>
  </property>
</Properties>
</file>